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DE" w:rsidRPr="00E95519" w:rsidRDefault="005241B1" w:rsidP="005241B1">
      <w:pPr>
        <w:jc w:val="center"/>
        <w:rPr>
          <w:b/>
          <w:color w:val="1F497D"/>
          <w:sz w:val="32"/>
          <w:szCs w:val="32"/>
        </w:rPr>
      </w:pPr>
      <w:bookmarkStart w:id="0" w:name="_GoBack"/>
      <w:bookmarkEnd w:id="0"/>
      <w:r w:rsidRPr="00E95519">
        <w:rPr>
          <w:b/>
          <w:color w:val="1F497D"/>
          <w:sz w:val="32"/>
          <w:szCs w:val="32"/>
        </w:rPr>
        <w:t xml:space="preserve">CIRCOLARE APPLICATIVA </w:t>
      </w:r>
    </w:p>
    <w:p w:rsidR="005241B1" w:rsidRPr="00E95519" w:rsidRDefault="00821C09" w:rsidP="005241B1">
      <w:pPr>
        <w:jc w:val="center"/>
        <w:rPr>
          <w:b/>
          <w:color w:val="1F497D"/>
          <w:sz w:val="32"/>
          <w:szCs w:val="32"/>
        </w:rPr>
      </w:pPr>
      <w:r w:rsidRPr="00E95519">
        <w:rPr>
          <w:b/>
          <w:color w:val="1F497D"/>
          <w:sz w:val="32"/>
          <w:szCs w:val="32"/>
        </w:rPr>
        <w:t xml:space="preserve">PER LA CORRETTA FORMULAZIONE DI DETERMINAZIONI </w:t>
      </w:r>
      <w:r w:rsidR="00C564DE" w:rsidRPr="00E95519">
        <w:rPr>
          <w:b/>
          <w:color w:val="1F497D"/>
          <w:sz w:val="32"/>
          <w:szCs w:val="32"/>
        </w:rPr>
        <w:t xml:space="preserve">CON LA NUOVA PROCEDURA DI CONTABILITA’ </w:t>
      </w:r>
      <w:r w:rsidR="003F4140">
        <w:rPr>
          <w:b/>
          <w:color w:val="1F497D"/>
          <w:sz w:val="32"/>
          <w:szCs w:val="32"/>
        </w:rPr>
        <w:t>MAGGIOLI</w:t>
      </w:r>
      <w:r w:rsidR="00C564DE" w:rsidRPr="00E95519">
        <w:rPr>
          <w:b/>
          <w:color w:val="1F497D"/>
          <w:sz w:val="32"/>
          <w:szCs w:val="32"/>
        </w:rPr>
        <w:t xml:space="preserve"> </w:t>
      </w:r>
    </w:p>
    <w:p w:rsidR="005241B1" w:rsidRDefault="005241B1" w:rsidP="0093774C">
      <w:pPr>
        <w:jc w:val="both"/>
        <w:rPr>
          <w:color w:val="1F497D"/>
          <w:sz w:val="28"/>
          <w:szCs w:val="28"/>
        </w:rPr>
      </w:pPr>
    </w:p>
    <w:p w:rsidR="00B269FF" w:rsidRPr="0093774C" w:rsidRDefault="00FC7232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C</w:t>
      </w:r>
      <w:r w:rsidR="00B269FF" w:rsidRPr="0093774C">
        <w:rPr>
          <w:color w:val="1F497D"/>
          <w:sz w:val="28"/>
          <w:szCs w:val="28"/>
        </w:rPr>
        <w:t>on il nuovo sistema contabile</w:t>
      </w:r>
      <w:r>
        <w:rPr>
          <w:color w:val="1F497D"/>
          <w:sz w:val="28"/>
          <w:szCs w:val="28"/>
        </w:rPr>
        <w:t xml:space="preserve"> armonizzato e sulla base della </w:t>
      </w:r>
      <w:r w:rsidR="003F4140">
        <w:rPr>
          <w:color w:val="1F497D"/>
          <w:sz w:val="28"/>
          <w:szCs w:val="28"/>
        </w:rPr>
        <w:t xml:space="preserve">nuova procedura di </w:t>
      </w:r>
      <w:r w:rsidR="00B53CA4">
        <w:rPr>
          <w:color w:val="1F497D"/>
          <w:sz w:val="28"/>
          <w:szCs w:val="28"/>
        </w:rPr>
        <w:t>Maggioli</w:t>
      </w:r>
      <w:r w:rsidR="00B269FF" w:rsidRPr="0093774C">
        <w:rPr>
          <w:color w:val="1F497D"/>
          <w:sz w:val="28"/>
          <w:szCs w:val="28"/>
        </w:rPr>
        <w:t xml:space="preserve">, </w:t>
      </w:r>
      <w:r w:rsidR="00BC3024">
        <w:rPr>
          <w:color w:val="1F497D"/>
          <w:sz w:val="28"/>
          <w:szCs w:val="28"/>
        </w:rPr>
        <w:t>cambiano le modalità di contabilizzazione in maggiore armonia con</w:t>
      </w:r>
      <w:r w:rsidR="00B53CA4">
        <w:rPr>
          <w:color w:val="1F497D"/>
          <w:sz w:val="28"/>
          <w:szCs w:val="28"/>
        </w:rPr>
        <w:t xml:space="preserve"> la normativa vigente rispetto a</w:t>
      </w:r>
      <w:r w:rsidR="00BC3024">
        <w:rPr>
          <w:color w:val="1F497D"/>
          <w:sz w:val="28"/>
          <w:szCs w:val="28"/>
        </w:rPr>
        <w:t xml:space="preserve"> quanto avveniva prima con il software di </w:t>
      </w:r>
      <w:proofErr w:type="spellStart"/>
      <w:r w:rsidR="00BC3024">
        <w:rPr>
          <w:color w:val="1F497D"/>
          <w:sz w:val="28"/>
          <w:szCs w:val="28"/>
        </w:rPr>
        <w:t>Publisys</w:t>
      </w:r>
      <w:proofErr w:type="spellEnd"/>
      <w:r w:rsidR="00BC3024">
        <w:rPr>
          <w:color w:val="1F497D"/>
          <w:sz w:val="28"/>
          <w:szCs w:val="28"/>
        </w:rPr>
        <w:t>.</w:t>
      </w:r>
    </w:p>
    <w:p w:rsidR="005910C4" w:rsidRDefault="005910C4" w:rsidP="0093774C">
      <w:pPr>
        <w:jc w:val="both"/>
        <w:rPr>
          <w:color w:val="1F497D"/>
          <w:sz w:val="28"/>
          <w:szCs w:val="28"/>
        </w:rPr>
      </w:pPr>
    </w:p>
    <w:p w:rsidR="00B269FF" w:rsidRPr="0093774C" w:rsidRDefault="00DB542D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Di seguito si riepilogano alcuni principi fondamentali</w:t>
      </w:r>
      <w:r w:rsidR="00B269FF" w:rsidRPr="0093774C">
        <w:rPr>
          <w:color w:val="1F497D"/>
          <w:sz w:val="28"/>
          <w:szCs w:val="28"/>
        </w:rPr>
        <w:t>:</w:t>
      </w:r>
    </w:p>
    <w:p w:rsidR="005F727D" w:rsidRDefault="00B269FF" w:rsidP="005F727D">
      <w:pPr>
        <w:pStyle w:val="Paragrafoelenco"/>
        <w:numPr>
          <w:ilvl w:val="0"/>
          <w:numId w:val="1"/>
        </w:numPr>
        <w:jc w:val="both"/>
        <w:rPr>
          <w:color w:val="1F497D"/>
          <w:sz w:val="28"/>
          <w:szCs w:val="28"/>
        </w:rPr>
      </w:pPr>
      <w:r w:rsidRPr="0093774C">
        <w:rPr>
          <w:color w:val="1F497D"/>
          <w:sz w:val="28"/>
          <w:szCs w:val="28"/>
        </w:rPr>
        <w:t xml:space="preserve">occorre </w:t>
      </w:r>
      <w:r w:rsidR="003F4140">
        <w:rPr>
          <w:color w:val="1F497D"/>
          <w:sz w:val="28"/>
          <w:szCs w:val="28"/>
        </w:rPr>
        <w:t>effettuare con determinazione l’</w:t>
      </w:r>
      <w:r w:rsidR="003F4140" w:rsidRPr="00BC3024">
        <w:rPr>
          <w:b/>
          <w:color w:val="1F497D"/>
          <w:sz w:val="28"/>
          <w:szCs w:val="28"/>
        </w:rPr>
        <w:t>accertamento</w:t>
      </w:r>
      <w:r w:rsidR="003F4140">
        <w:rPr>
          <w:color w:val="1F497D"/>
          <w:sz w:val="28"/>
          <w:szCs w:val="28"/>
        </w:rPr>
        <w:t xml:space="preserve"> al momento in cui l’obbligazione è giuridicamente perfezionata (es. stipula del contratto di alienazione di immobili, concessione di finanziamento, ecc.), imputando la </w:t>
      </w:r>
      <w:r w:rsidR="003F4140" w:rsidRPr="005F727D">
        <w:rPr>
          <w:color w:val="1F497D"/>
          <w:sz w:val="28"/>
          <w:szCs w:val="28"/>
        </w:rPr>
        <w:t xml:space="preserve">relativa entrata agli esercizi del bilancio </w:t>
      </w:r>
      <w:r w:rsidR="0067412C" w:rsidRPr="005F727D">
        <w:rPr>
          <w:color w:val="1F497D"/>
          <w:sz w:val="28"/>
          <w:szCs w:val="28"/>
        </w:rPr>
        <w:t xml:space="preserve">pluriennale </w:t>
      </w:r>
      <w:r w:rsidR="003F4140" w:rsidRPr="005F727D">
        <w:rPr>
          <w:color w:val="1F497D"/>
          <w:sz w:val="28"/>
          <w:szCs w:val="28"/>
        </w:rPr>
        <w:t>sulla base della previsione del cronoprogramma di esigibilità dell’</w:t>
      </w:r>
      <w:r w:rsidR="00B218DF" w:rsidRPr="005F727D">
        <w:rPr>
          <w:color w:val="1F497D"/>
          <w:sz w:val="28"/>
          <w:szCs w:val="28"/>
        </w:rPr>
        <w:t>entrata;</w:t>
      </w:r>
    </w:p>
    <w:p w:rsidR="00E069F5" w:rsidRDefault="003F4140" w:rsidP="00E069F5">
      <w:pPr>
        <w:pStyle w:val="Paragrafoelenco"/>
        <w:numPr>
          <w:ilvl w:val="0"/>
          <w:numId w:val="1"/>
        </w:numPr>
        <w:jc w:val="both"/>
        <w:rPr>
          <w:color w:val="1F497D"/>
          <w:sz w:val="28"/>
          <w:szCs w:val="28"/>
        </w:rPr>
      </w:pPr>
      <w:r w:rsidRPr="005F727D">
        <w:rPr>
          <w:color w:val="1F497D"/>
          <w:sz w:val="28"/>
          <w:szCs w:val="28"/>
        </w:rPr>
        <w:t xml:space="preserve">occorre effettuare con determinazione la </w:t>
      </w:r>
      <w:r w:rsidRPr="00E069F5">
        <w:rPr>
          <w:b/>
          <w:color w:val="1F497D"/>
          <w:sz w:val="28"/>
          <w:szCs w:val="28"/>
        </w:rPr>
        <w:t>prenotazione di spesa</w:t>
      </w:r>
      <w:r w:rsidRPr="005F727D">
        <w:rPr>
          <w:color w:val="1F497D"/>
          <w:sz w:val="28"/>
          <w:szCs w:val="28"/>
        </w:rPr>
        <w:t xml:space="preserve"> al </w:t>
      </w:r>
      <w:r w:rsidR="00B218DF" w:rsidRPr="005F727D">
        <w:rPr>
          <w:color w:val="1F497D"/>
          <w:sz w:val="28"/>
          <w:szCs w:val="28"/>
        </w:rPr>
        <w:t>momento in cui viene indetta la</w:t>
      </w:r>
      <w:r w:rsidRPr="005F727D">
        <w:rPr>
          <w:color w:val="1F497D"/>
          <w:sz w:val="28"/>
          <w:szCs w:val="28"/>
        </w:rPr>
        <w:t xml:space="preserve"> gara</w:t>
      </w:r>
      <w:r w:rsidR="00B218DF" w:rsidRPr="005F727D">
        <w:rPr>
          <w:color w:val="1F497D"/>
          <w:sz w:val="28"/>
          <w:szCs w:val="28"/>
        </w:rPr>
        <w:t>,</w:t>
      </w:r>
      <w:r w:rsidRPr="005F727D">
        <w:rPr>
          <w:color w:val="1F497D"/>
          <w:sz w:val="28"/>
          <w:szCs w:val="28"/>
        </w:rPr>
        <w:t xml:space="preserve"> imputando la relativa spesa ai vari esercizi del bilancio pluriennale sulla base della previsione del cronoprogramm</w:t>
      </w:r>
      <w:r w:rsidR="00B218DF" w:rsidRPr="005F727D">
        <w:rPr>
          <w:color w:val="1F497D"/>
          <w:sz w:val="28"/>
          <w:szCs w:val="28"/>
        </w:rPr>
        <w:t>a di esigibilità della spesa;</w:t>
      </w:r>
      <w:r w:rsidR="00C57165" w:rsidRPr="005F727D">
        <w:rPr>
          <w:color w:val="1F497D"/>
          <w:sz w:val="28"/>
          <w:szCs w:val="28"/>
        </w:rPr>
        <w:t xml:space="preserve"> </w:t>
      </w:r>
      <w:r w:rsidR="00E069F5">
        <w:rPr>
          <w:color w:val="1F497D"/>
          <w:sz w:val="28"/>
          <w:szCs w:val="28"/>
        </w:rPr>
        <w:t xml:space="preserve">nel caso di spese gestite a quadro economico, la prenotazione verrà assunta prima al momento in cui viene approvato il quadro economico dell’opera per l’intero importo del </w:t>
      </w:r>
      <w:proofErr w:type="spellStart"/>
      <w:r w:rsidR="00E069F5">
        <w:rPr>
          <w:color w:val="1F497D"/>
          <w:sz w:val="28"/>
          <w:szCs w:val="28"/>
        </w:rPr>
        <w:t>q.e.p</w:t>
      </w:r>
      <w:proofErr w:type="spellEnd"/>
      <w:r w:rsidR="00E069F5">
        <w:rPr>
          <w:color w:val="1F497D"/>
          <w:sz w:val="28"/>
          <w:szCs w:val="28"/>
        </w:rPr>
        <w:t>.;</w:t>
      </w:r>
    </w:p>
    <w:p w:rsidR="00BC3024" w:rsidRDefault="00BC3024" w:rsidP="00BC3024">
      <w:pPr>
        <w:pStyle w:val="Paragrafoelenco"/>
        <w:numPr>
          <w:ilvl w:val="0"/>
          <w:numId w:val="1"/>
        </w:num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occorre </w:t>
      </w:r>
      <w:r w:rsidRPr="00BC3024">
        <w:rPr>
          <w:b/>
          <w:color w:val="1F497D"/>
          <w:sz w:val="28"/>
          <w:szCs w:val="28"/>
        </w:rPr>
        <w:t>trasformare in impegno la prenotazione di spesa</w:t>
      </w:r>
      <w:r>
        <w:rPr>
          <w:color w:val="1F497D"/>
          <w:sz w:val="28"/>
          <w:szCs w:val="28"/>
        </w:rPr>
        <w:t xml:space="preserve"> assunta in occasione dell’indizione</w:t>
      </w:r>
      <w:r w:rsidR="00E069F5">
        <w:rPr>
          <w:color w:val="1F497D"/>
          <w:sz w:val="28"/>
          <w:szCs w:val="28"/>
        </w:rPr>
        <w:t xml:space="preserve"> o dell’approvazione del </w:t>
      </w:r>
      <w:proofErr w:type="spellStart"/>
      <w:r w:rsidR="00E069F5">
        <w:rPr>
          <w:color w:val="1F497D"/>
          <w:sz w:val="28"/>
          <w:szCs w:val="28"/>
        </w:rPr>
        <w:t>q.e.p</w:t>
      </w:r>
      <w:proofErr w:type="spellEnd"/>
      <w:r w:rsidR="00E069F5">
        <w:rPr>
          <w:color w:val="1F497D"/>
          <w:sz w:val="28"/>
          <w:szCs w:val="28"/>
        </w:rPr>
        <w:t>.</w:t>
      </w:r>
      <w:r>
        <w:rPr>
          <w:color w:val="1F497D"/>
          <w:sz w:val="28"/>
          <w:szCs w:val="28"/>
        </w:rPr>
        <w:t>, al momento dell’aggiudicazione della gara, imputando la relativa spesa ai vari esercizi del bilancio pluriennale sulla base della previsione del cronoprogramma di esigibilità della spesa;</w:t>
      </w:r>
    </w:p>
    <w:p w:rsidR="00BC3024" w:rsidRDefault="00B269FF" w:rsidP="00BC3024">
      <w:pPr>
        <w:pStyle w:val="Paragrafoelenco"/>
        <w:numPr>
          <w:ilvl w:val="0"/>
          <w:numId w:val="1"/>
        </w:numPr>
        <w:jc w:val="both"/>
        <w:rPr>
          <w:color w:val="1F497D"/>
          <w:sz w:val="28"/>
          <w:szCs w:val="28"/>
        </w:rPr>
      </w:pPr>
      <w:r w:rsidRPr="0093774C">
        <w:rPr>
          <w:color w:val="1F497D"/>
          <w:sz w:val="28"/>
          <w:szCs w:val="28"/>
        </w:rPr>
        <w:t xml:space="preserve">occorre </w:t>
      </w:r>
      <w:r w:rsidR="00BC3024">
        <w:rPr>
          <w:color w:val="1F497D"/>
          <w:sz w:val="28"/>
          <w:szCs w:val="28"/>
        </w:rPr>
        <w:t>effettuare l’</w:t>
      </w:r>
      <w:r w:rsidR="00BC3024" w:rsidRPr="00BC3024">
        <w:rPr>
          <w:b/>
          <w:color w:val="1F497D"/>
          <w:sz w:val="28"/>
          <w:szCs w:val="28"/>
        </w:rPr>
        <w:t xml:space="preserve">impegno di spesa </w:t>
      </w:r>
      <w:r w:rsidR="00BC3024">
        <w:rPr>
          <w:color w:val="1F497D"/>
          <w:sz w:val="28"/>
          <w:szCs w:val="28"/>
        </w:rPr>
        <w:t>al momento in cui l’obbligazione è giuridicamente perfezionata (es. gara aggiudic</w:t>
      </w:r>
      <w:r w:rsidR="005F5D10">
        <w:rPr>
          <w:color w:val="1F497D"/>
          <w:sz w:val="28"/>
          <w:szCs w:val="28"/>
        </w:rPr>
        <w:t>ata senza la preventiva indizio</w:t>
      </w:r>
      <w:r w:rsidR="00BC3024">
        <w:rPr>
          <w:color w:val="1F497D"/>
          <w:sz w:val="28"/>
          <w:szCs w:val="28"/>
        </w:rPr>
        <w:t>n</w:t>
      </w:r>
      <w:r w:rsidR="005F5D10">
        <w:rPr>
          <w:color w:val="1F497D"/>
          <w:sz w:val="28"/>
          <w:szCs w:val="28"/>
        </w:rPr>
        <w:t>e</w:t>
      </w:r>
      <w:r w:rsidR="00BC3024">
        <w:rPr>
          <w:color w:val="1F497D"/>
          <w:sz w:val="28"/>
          <w:szCs w:val="28"/>
        </w:rPr>
        <w:t xml:space="preserve"> di gara), imputando la relativa spesa ai vari esercizi del bilancio pluriennale sulla base della previsione del cronoprogramma di esigibilità della spesa;</w:t>
      </w:r>
    </w:p>
    <w:p w:rsidR="00BC3024" w:rsidRDefault="00BC3024" w:rsidP="00BC3024">
      <w:pPr>
        <w:pStyle w:val="Paragrafoelenco"/>
        <w:numPr>
          <w:ilvl w:val="0"/>
          <w:numId w:val="1"/>
        </w:num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occorre effettuare le necessarie </w:t>
      </w:r>
      <w:r w:rsidRPr="00BC3024">
        <w:rPr>
          <w:b/>
          <w:color w:val="1F497D"/>
          <w:sz w:val="28"/>
          <w:szCs w:val="28"/>
        </w:rPr>
        <w:t>variazioni di esigibilità</w:t>
      </w:r>
      <w:r>
        <w:rPr>
          <w:color w:val="1F497D"/>
          <w:sz w:val="28"/>
          <w:szCs w:val="28"/>
        </w:rPr>
        <w:t xml:space="preserve"> dell’entrata e della spesa al variare del cronoprogramma previsto.</w:t>
      </w:r>
    </w:p>
    <w:p w:rsidR="00BC3024" w:rsidRDefault="00BC3024" w:rsidP="00BC3024">
      <w:pPr>
        <w:pStyle w:val="Paragrafoelenco"/>
        <w:jc w:val="both"/>
        <w:rPr>
          <w:color w:val="1F497D"/>
          <w:sz w:val="28"/>
          <w:szCs w:val="28"/>
        </w:rPr>
      </w:pPr>
    </w:p>
    <w:p w:rsidR="00E069F5" w:rsidRDefault="00E069F5" w:rsidP="00E069F5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Così facendo, alla </w:t>
      </w:r>
      <w:r w:rsidRPr="00152837">
        <w:rPr>
          <w:b/>
          <w:color w:val="1F497D"/>
          <w:sz w:val="28"/>
          <w:szCs w:val="28"/>
        </w:rPr>
        <w:t>prenotazione corrisponderanno obbligazioni giuridicamente non perfezionate</w:t>
      </w:r>
      <w:r>
        <w:rPr>
          <w:color w:val="1F497D"/>
          <w:sz w:val="28"/>
          <w:szCs w:val="28"/>
        </w:rPr>
        <w:t>, mentre agli impegni corrisponderanno obbligazioni giuridicamente perfezionate.</w:t>
      </w:r>
    </w:p>
    <w:p w:rsidR="00152837" w:rsidRDefault="00152837" w:rsidP="00E069F5">
      <w:pPr>
        <w:jc w:val="both"/>
        <w:rPr>
          <w:color w:val="1F497D"/>
          <w:sz w:val="28"/>
          <w:szCs w:val="28"/>
        </w:rPr>
      </w:pPr>
    </w:p>
    <w:p w:rsidR="00B269FF" w:rsidRPr="0093774C" w:rsidRDefault="00B269FF" w:rsidP="0093774C">
      <w:pPr>
        <w:jc w:val="both"/>
        <w:rPr>
          <w:color w:val="1F497D"/>
          <w:sz w:val="28"/>
          <w:szCs w:val="28"/>
        </w:rPr>
      </w:pPr>
      <w:r w:rsidRPr="0093774C">
        <w:rPr>
          <w:color w:val="1F497D"/>
          <w:sz w:val="28"/>
          <w:szCs w:val="28"/>
        </w:rPr>
        <w:t xml:space="preserve">Tali registrazioni dovranno essere effettuate </w:t>
      </w:r>
      <w:r w:rsidRPr="0093774C">
        <w:rPr>
          <w:b/>
          <w:bCs/>
          <w:color w:val="1F497D"/>
          <w:sz w:val="28"/>
          <w:szCs w:val="28"/>
        </w:rPr>
        <w:t>soprattutto nell’interesse dell’ufficio competente</w:t>
      </w:r>
      <w:r w:rsidRPr="0093774C">
        <w:rPr>
          <w:color w:val="1F497D"/>
          <w:sz w:val="28"/>
          <w:szCs w:val="28"/>
        </w:rPr>
        <w:t>, perché in caso contrario i dati di bilancio saranno di difficile lettura e non saranno di nessun supporto all’ufficio.</w:t>
      </w:r>
    </w:p>
    <w:p w:rsidR="005241B1" w:rsidRDefault="005241B1" w:rsidP="0093774C">
      <w:pPr>
        <w:jc w:val="both"/>
        <w:rPr>
          <w:b/>
          <w:color w:val="1F497D"/>
          <w:sz w:val="28"/>
          <w:szCs w:val="28"/>
        </w:rPr>
      </w:pPr>
    </w:p>
    <w:p w:rsidR="00B269FF" w:rsidRPr="0093774C" w:rsidRDefault="00B269FF" w:rsidP="0093774C">
      <w:pPr>
        <w:jc w:val="both"/>
        <w:rPr>
          <w:color w:val="1F497D"/>
          <w:sz w:val="28"/>
          <w:szCs w:val="28"/>
        </w:rPr>
      </w:pPr>
      <w:r w:rsidRPr="0093774C">
        <w:rPr>
          <w:color w:val="1F497D"/>
          <w:sz w:val="28"/>
          <w:szCs w:val="28"/>
        </w:rPr>
        <w:lastRenderedPageBreak/>
        <w:t>Ciò detto, si fa presente che, in omaggio al principio del</w:t>
      </w:r>
      <w:r w:rsidR="00786402">
        <w:rPr>
          <w:color w:val="1F497D"/>
          <w:sz w:val="28"/>
          <w:szCs w:val="28"/>
        </w:rPr>
        <w:t>l’equilibrio</w:t>
      </w:r>
      <w:r w:rsidR="00412C69">
        <w:rPr>
          <w:color w:val="1F497D"/>
          <w:sz w:val="28"/>
          <w:szCs w:val="28"/>
        </w:rPr>
        <w:t xml:space="preserve"> di bilancio, </w:t>
      </w:r>
      <w:r w:rsidR="00412C69" w:rsidRPr="00412C69">
        <w:rPr>
          <w:b/>
          <w:color w:val="1F497D"/>
          <w:sz w:val="28"/>
          <w:szCs w:val="28"/>
        </w:rPr>
        <w:t>non è consentito</w:t>
      </w:r>
      <w:r w:rsidR="00412C69">
        <w:rPr>
          <w:color w:val="1F497D"/>
          <w:sz w:val="28"/>
          <w:szCs w:val="28"/>
        </w:rPr>
        <w:t xml:space="preserve"> </w:t>
      </w:r>
      <w:r w:rsidR="00412C69" w:rsidRPr="00520213">
        <w:rPr>
          <w:b/>
          <w:color w:val="1F497D"/>
          <w:sz w:val="28"/>
          <w:szCs w:val="28"/>
        </w:rPr>
        <w:t>i</w:t>
      </w:r>
      <w:r w:rsidRPr="00520213">
        <w:rPr>
          <w:b/>
          <w:bCs/>
          <w:color w:val="1F497D"/>
          <w:sz w:val="28"/>
          <w:szCs w:val="28"/>
        </w:rPr>
        <w:t>m</w:t>
      </w:r>
      <w:r w:rsidRPr="0093774C">
        <w:rPr>
          <w:b/>
          <w:bCs/>
          <w:color w:val="1F497D"/>
          <w:sz w:val="28"/>
          <w:szCs w:val="28"/>
        </w:rPr>
        <w:t>pegnare</w:t>
      </w:r>
      <w:r w:rsidR="00520213">
        <w:rPr>
          <w:b/>
          <w:bCs/>
          <w:color w:val="1F497D"/>
          <w:sz w:val="28"/>
          <w:szCs w:val="28"/>
        </w:rPr>
        <w:t>/prenotare</w:t>
      </w:r>
      <w:r w:rsidRPr="0093774C">
        <w:rPr>
          <w:color w:val="1F497D"/>
          <w:sz w:val="28"/>
          <w:szCs w:val="28"/>
        </w:rPr>
        <w:t xml:space="preserve"> la spesa finanziata con entrate a specifica destinazione, </w:t>
      </w:r>
      <w:r w:rsidRPr="0093774C">
        <w:rPr>
          <w:b/>
          <w:bCs/>
          <w:color w:val="1F497D"/>
          <w:sz w:val="28"/>
          <w:szCs w:val="28"/>
        </w:rPr>
        <w:t>se prima non si è provveduto ad accertare la correlata entrata</w:t>
      </w:r>
      <w:r w:rsidRPr="0093774C">
        <w:rPr>
          <w:color w:val="1F497D"/>
          <w:sz w:val="28"/>
          <w:szCs w:val="28"/>
        </w:rPr>
        <w:t>.</w:t>
      </w:r>
      <w:r w:rsidR="00412C69">
        <w:rPr>
          <w:color w:val="1F497D"/>
          <w:sz w:val="28"/>
          <w:szCs w:val="28"/>
        </w:rPr>
        <w:t xml:space="preserve"> </w:t>
      </w:r>
      <w:r w:rsidRPr="0093774C">
        <w:rPr>
          <w:color w:val="1F497D"/>
          <w:sz w:val="28"/>
          <w:szCs w:val="28"/>
        </w:rPr>
        <w:t xml:space="preserve">Quest’ultima disposizione vale per ogni capitolo di spesa finanziato con </w:t>
      </w:r>
      <w:r w:rsidRPr="0093774C">
        <w:rPr>
          <w:b/>
          <w:bCs/>
          <w:color w:val="1F497D"/>
          <w:sz w:val="28"/>
          <w:szCs w:val="28"/>
        </w:rPr>
        <w:t>entrate a specifica destinazione</w:t>
      </w:r>
      <w:r w:rsidRPr="0093774C">
        <w:rPr>
          <w:color w:val="1F497D"/>
          <w:sz w:val="28"/>
          <w:szCs w:val="28"/>
        </w:rPr>
        <w:t xml:space="preserve"> (proventi da alienazione, trasferimenti correnti vincolati, trasferimenti in c/capitale, proventi contravvenzionali, ecc.) mentre non vale per i capitoli </w:t>
      </w:r>
      <w:r w:rsidR="00412C69">
        <w:rPr>
          <w:color w:val="1F497D"/>
          <w:sz w:val="28"/>
          <w:szCs w:val="28"/>
        </w:rPr>
        <w:t xml:space="preserve">di spesa </w:t>
      </w:r>
      <w:r w:rsidRPr="0093774C">
        <w:rPr>
          <w:color w:val="1F497D"/>
          <w:sz w:val="28"/>
          <w:szCs w:val="28"/>
        </w:rPr>
        <w:t xml:space="preserve">finanziati da </w:t>
      </w:r>
      <w:r w:rsidRPr="0093774C">
        <w:rPr>
          <w:b/>
          <w:bCs/>
          <w:color w:val="1F497D"/>
          <w:sz w:val="28"/>
          <w:szCs w:val="28"/>
        </w:rPr>
        <w:t xml:space="preserve">avanzo </w:t>
      </w:r>
      <w:r w:rsidRPr="0093774C">
        <w:rPr>
          <w:color w:val="1F497D"/>
          <w:sz w:val="28"/>
          <w:szCs w:val="28"/>
        </w:rPr>
        <w:t xml:space="preserve">(riportanti nella descrizione le iniziali “AA”) né per la quota di ogni capitolo di spesa finanziata da </w:t>
      </w:r>
      <w:r w:rsidRPr="0093774C">
        <w:rPr>
          <w:b/>
          <w:bCs/>
          <w:color w:val="1F497D"/>
          <w:sz w:val="28"/>
          <w:szCs w:val="28"/>
        </w:rPr>
        <w:t>FPV di entrata</w:t>
      </w:r>
      <w:r w:rsidRPr="0093774C">
        <w:rPr>
          <w:color w:val="1F497D"/>
          <w:sz w:val="28"/>
          <w:szCs w:val="28"/>
        </w:rPr>
        <w:t>, in quanto le entrate sono state già accertate negli anni precedenti.</w:t>
      </w:r>
    </w:p>
    <w:p w:rsidR="00B269FF" w:rsidRPr="0093774C" w:rsidRDefault="00B269FF" w:rsidP="0093774C">
      <w:pPr>
        <w:jc w:val="both"/>
        <w:rPr>
          <w:color w:val="1F497D"/>
          <w:sz w:val="28"/>
          <w:szCs w:val="28"/>
        </w:rPr>
      </w:pPr>
    </w:p>
    <w:p w:rsidR="000C321F" w:rsidRDefault="00520213" w:rsidP="0093774C">
      <w:pPr>
        <w:jc w:val="both"/>
        <w:rPr>
          <w:color w:val="1F497D"/>
          <w:sz w:val="28"/>
          <w:szCs w:val="28"/>
        </w:rPr>
      </w:pPr>
      <w:r w:rsidRPr="00661175">
        <w:rPr>
          <w:color w:val="1F497D"/>
          <w:sz w:val="28"/>
          <w:szCs w:val="28"/>
        </w:rPr>
        <w:t xml:space="preserve">Al momento </w:t>
      </w:r>
      <w:r w:rsidRPr="00ED3305">
        <w:rPr>
          <w:b/>
          <w:color w:val="1F497D"/>
          <w:sz w:val="28"/>
          <w:szCs w:val="28"/>
        </w:rPr>
        <w:t xml:space="preserve">dell’aggiudicazione della </w:t>
      </w:r>
      <w:r w:rsidRPr="00412C69">
        <w:rPr>
          <w:b/>
          <w:color w:val="1F497D"/>
          <w:sz w:val="28"/>
          <w:szCs w:val="28"/>
        </w:rPr>
        <w:t>gara preceduta da prenotazione di spesa</w:t>
      </w:r>
      <w:r>
        <w:rPr>
          <w:color w:val="1F497D"/>
          <w:sz w:val="28"/>
          <w:szCs w:val="28"/>
        </w:rPr>
        <w:t>,</w:t>
      </w:r>
      <w:r w:rsidRPr="00661175">
        <w:rPr>
          <w:color w:val="1F497D"/>
          <w:sz w:val="28"/>
          <w:szCs w:val="28"/>
        </w:rPr>
        <w:t xml:space="preserve"> l’ufficio impegni avrà c</w:t>
      </w:r>
      <w:r>
        <w:rPr>
          <w:color w:val="1F497D"/>
          <w:sz w:val="28"/>
          <w:szCs w:val="28"/>
        </w:rPr>
        <w:t xml:space="preserve">ura di trasformare in impegno per l’importo aggiudicato la </w:t>
      </w:r>
      <w:r w:rsidRPr="00661175">
        <w:rPr>
          <w:color w:val="1F497D"/>
          <w:sz w:val="28"/>
          <w:szCs w:val="28"/>
        </w:rPr>
        <w:t>prenotazione</w:t>
      </w:r>
      <w:r>
        <w:rPr>
          <w:color w:val="1F497D"/>
          <w:sz w:val="28"/>
          <w:szCs w:val="28"/>
        </w:rPr>
        <w:t xml:space="preserve"> di spesa</w:t>
      </w:r>
      <w:r w:rsidRPr="00661175">
        <w:rPr>
          <w:color w:val="1F497D"/>
          <w:sz w:val="28"/>
          <w:szCs w:val="28"/>
        </w:rPr>
        <w:t xml:space="preserve">, </w:t>
      </w:r>
      <w:r>
        <w:rPr>
          <w:color w:val="1F497D"/>
          <w:sz w:val="28"/>
          <w:szCs w:val="28"/>
        </w:rPr>
        <w:t xml:space="preserve">completandola con </w:t>
      </w:r>
      <w:r w:rsidRPr="00661175">
        <w:rPr>
          <w:color w:val="1F497D"/>
          <w:sz w:val="28"/>
          <w:szCs w:val="28"/>
        </w:rPr>
        <w:t>il nominati</w:t>
      </w:r>
      <w:r>
        <w:rPr>
          <w:color w:val="1F497D"/>
          <w:sz w:val="28"/>
          <w:szCs w:val="28"/>
        </w:rPr>
        <w:t>vo del creditore aggiudicatario.</w:t>
      </w:r>
      <w:r w:rsidR="008F54A7">
        <w:rPr>
          <w:color w:val="1F497D"/>
          <w:sz w:val="28"/>
          <w:szCs w:val="28"/>
        </w:rPr>
        <w:t xml:space="preserve"> </w:t>
      </w:r>
    </w:p>
    <w:p w:rsidR="000C321F" w:rsidRDefault="000C321F" w:rsidP="0093774C">
      <w:pPr>
        <w:jc w:val="both"/>
        <w:rPr>
          <w:color w:val="1F497D"/>
          <w:sz w:val="28"/>
          <w:szCs w:val="28"/>
        </w:rPr>
      </w:pPr>
    </w:p>
    <w:p w:rsidR="00976770" w:rsidRDefault="002B4A74" w:rsidP="0093774C">
      <w:pPr>
        <w:jc w:val="both"/>
        <w:rPr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Si rammenta che nel rendiconto dell’esercizio non possono essere mantenute obbligazioni giuridicamente non perfezionate, </w:t>
      </w:r>
      <w:r w:rsidRPr="00976770">
        <w:rPr>
          <w:b/>
          <w:color w:val="1F497D"/>
          <w:sz w:val="28"/>
          <w:szCs w:val="28"/>
        </w:rPr>
        <w:t>ossia prenotazioni non trasformate in impegno</w:t>
      </w:r>
      <w:r w:rsidR="00976770" w:rsidRPr="00976770">
        <w:rPr>
          <w:b/>
          <w:color w:val="1F497D"/>
          <w:sz w:val="28"/>
          <w:szCs w:val="28"/>
        </w:rPr>
        <w:t xml:space="preserve"> in corrispondenza di gare non aggiudicate</w:t>
      </w:r>
      <w:r w:rsidR="00976770" w:rsidRPr="00976770">
        <w:rPr>
          <w:color w:val="1F497D"/>
          <w:sz w:val="28"/>
          <w:szCs w:val="28"/>
        </w:rPr>
        <w:t>,</w:t>
      </w:r>
      <w:r w:rsidR="00976770">
        <w:rPr>
          <w:b/>
          <w:color w:val="1F497D"/>
          <w:sz w:val="28"/>
          <w:szCs w:val="28"/>
        </w:rPr>
        <w:t xml:space="preserve"> </w:t>
      </w:r>
      <w:r w:rsidR="00976770" w:rsidRPr="00976770">
        <w:rPr>
          <w:color w:val="1F497D"/>
          <w:sz w:val="28"/>
          <w:szCs w:val="28"/>
        </w:rPr>
        <w:t>quindi le prenotazioni scadenti nell’esercizio</w:t>
      </w:r>
      <w:r w:rsidR="00976770">
        <w:rPr>
          <w:color w:val="1F497D"/>
          <w:sz w:val="28"/>
          <w:szCs w:val="28"/>
        </w:rPr>
        <w:t xml:space="preserve"> dovranno essere </w:t>
      </w:r>
      <w:r w:rsidR="00976770" w:rsidRPr="00976770">
        <w:rPr>
          <w:color w:val="1F497D"/>
          <w:sz w:val="28"/>
          <w:szCs w:val="28"/>
        </w:rPr>
        <w:t>cancellate</w:t>
      </w:r>
      <w:r w:rsidR="00976770">
        <w:rPr>
          <w:color w:val="1F497D"/>
          <w:sz w:val="28"/>
          <w:szCs w:val="28"/>
        </w:rPr>
        <w:t>.</w:t>
      </w:r>
    </w:p>
    <w:p w:rsidR="00CA3781" w:rsidRDefault="00CA3781" w:rsidP="0093774C">
      <w:pPr>
        <w:jc w:val="both"/>
        <w:rPr>
          <w:color w:val="1F497D"/>
          <w:sz w:val="28"/>
          <w:szCs w:val="28"/>
        </w:rPr>
      </w:pPr>
    </w:p>
    <w:p w:rsidR="00976770" w:rsidRDefault="001C5183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Si rammenta altresì che </w:t>
      </w:r>
      <w:r w:rsidR="00976770">
        <w:rPr>
          <w:color w:val="1F497D"/>
          <w:sz w:val="28"/>
          <w:szCs w:val="28"/>
        </w:rPr>
        <w:t xml:space="preserve">il </w:t>
      </w:r>
      <w:proofErr w:type="spellStart"/>
      <w:r w:rsidR="00976770" w:rsidRPr="005C2968">
        <w:rPr>
          <w:b/>
          <w:color w:val="1F497D"/>
          <w:sz w:val="28"/>
          <w:szCs w:val="28"/>
        </w:rPr>
        <w:t>fpv</w:t>
      </w:r>
      <w:proofErr w:type="spellEnd"/>
      <w:r w:rsidR="00976770" w:rsidRPr="005C2968">
        <w:rPr>
          <w:b/>
          <w:color w:val="1F497D"/>
          <w:sz w:val="28"/>
          <w:szCs w:val="28"/>
        </w:rPr>
        <w:t xml:space="preserve"> è la fonte di finanziamento degli impegni esigibili</w:t>
      </w:r>
      <w:r w:rsidR="00976770">
        <w:rPr>
          <w:color w:val="1F497D"/>
          <w:sz w:val="28"/>
          <w:szCs w:val="28"/>
        </w:rPr>
        <w:t xml:space="preserve"> </w:t>
      </w:r>
      <w:r w:rsidR="00976770" w:rsidRPr="005C2968">
        <w:rPr>
          <w:b/>
          <w:color w:val="1F497D"/>
          <w:sz w:val="28"/>
          <w:szCs w:val="28"/>
        </w:rPr>
        <w:t>negli anni successivi</w:t>
      </w:r>
      <w:r>
        <w:rPr>
          <w:color w:val="1F497D"/>
          <w:sz w:val="28"/>
          <w:szCs w:val="28"/>
        </w:rPr>
        <w:t xml:space="preserve"> in corrispondenza di entrate a specifica destinazione accertate nell’esercizio. P</w:t>
      </w:r>
      <w:r w:rsidR="00976770">
        <w:rPr>
          <w:color w:val="1F497D"/>
          <w:sz w:val="28"/>
          <w:szCs w:val="28"/>
        </w:rPr>
        <w:t xml:space="preserve">ertanto, le </w:t>
      </w:r>
      <w:r w:rsidRPr="005C2968">
        <w:rPr>
          <w:b/>
          <w:color w:val="1F497D"/>
          <w:sz w:val="28"/>
          <w:szCs w:val="28"/>
        </w:rPr>
        <w:t>prenotazioni scadenti gli anni successivi finanziate da FPV</w:t>
      </w:r>
      <w:r>
        <w:rPr>
          <w:color w:val="1F497D"/>
          <w:sz w:val="28"/>
          <w:szCs w:val="28"/>
        </w:rPr>
        <w:t xml:space="preserve"> </w:t>
      </w:r>
      <w:r w:rsidR="00CA3781">
        <w:rPr>
          <w:color w:val="1F497D"/>
          <w:sz w:val="28"/>
          <w:szCs w:val="28"/>
        </w:rPr>
        <w:t>dovranno</w:t>
      </w:r>
      <w:r w:rsidR="00976770">
        <w:rPr>
          <w:color w:val="1F497D"/>
          <w:sz w:val="28"/>
          <w:szCs w:val="28"/>
        </w:rPr>
        <w:t xml:space="preserve"> </w:t>
      </w:r>
      <w:r w:rsidR="00CA3781">
        <w:rPr>
          <w:color w:val="1F497D"/>
          <w:sz w:val="28"/>
          <w:szCs w:val="28"/>
        </w:rPr>
        <w:t>essere cancellate</w:t>
      </w:r>
      <w:r w:rsidR="00976770">
        <w:rPr>
          <w:color w:val="1F497D"/>
          <w:sz w:val="28"/>
          <w:szCs w:val="28"/>
        </w:rPr>
        <w:t>, salvo i seguenti casi</w:t>
      </w:r>
      <w:r w:rsidR="00CA3781">
        <w:rPr>
          <w:color w:val="1F497D"/>
          <w:sz w:val="28"/>
          <w:szCs w:val="28"/>
        </w:rPr>
        <w:t xml:space="preserve">, entrambi riferiti a </w:t>
      </w:r>
      <w:r w:rsidR="00CA3781" w:rsidRPr="005C2968">
        <w:rPr>
          <w:b/>
          <w:color w:val="1F497D"/>
          <w:sz w:val="28"/>
          <w:szCs w:val="28"/>
        </w:rPr>
        <w:t>lavori</w:t>
      </w:r>
      <w:r w:rsidR="00976770">
        <w:rPr>
          <w:color w:val="1F497D"/>
          <w:sz w:val="28"/>
          <w:szCs w:val="28"/>
        </w:rPr>
        <w:t>:</w:t>
      </w:r>
    </w:p>
    <w:p w:rsidR="00976770" w:rsidRDefault="00CA3781" w:rsidP="00650F8D">
      <w:pPr>
        <w:pStyle w:val="Paragrafoelenco"/>
        <w:numPr>
          <w:ilvl w:val="0"/>
          <w:numId w:val="16"/>
        </w:numPr>
        <w:jc w:val="both"/>
        <w:rPr>
          <w:color w:val="1F497D"/>
          <w:sz w:val="28"/>
          <w:szCs w:val="28"/>
        </w:rPr>
      </w:pPr>
      <w:r w:rsidRPr="00CA3781">
        <w:rPr>
          <w:b/>
          <w:color w:val="1F497D"/>
          <w:sz w:val="28"/>
          <w:szCs w:val="28"/>
        </w:rPr>
        <w:t xml:space="preserve">è stata aggiudicata </w:t>
      </w:r>
      <w:r>
        <w:rPr>
          <w:b/>
          <w:color w:val="1F497D"/>
          <w:sz w:val="28"/>
          <w:szCs w:val="28"/>
        </w:rPr>
        <w:t xml:space="preserve">entro l’esercizio </w:t>
      </w:r>
      <w:r w:rsidRPr="00CA3781">
        <w:rPr>
          <w:b/>
          <w:color w:val="1F497D"/>
          <w:sz w:val="28"/>
          <w:szCs w:val="28"/>
        </w:rPr>
        <w:t xml:space="preserve">una qualsiasi voce del </w:t>
      </w:r>
      <w:proofErr w:type="spellStart"/>
      <w:r w:rsidRPr="00CA3781">
        <w:rPr>
          <w:b/>
          <w:color w:val="1F497D"/>
          <w:sz w:val="28"/>
          <w:szCs w:val="28"/>
        </w:rPr>
        <w:t>q.e.p</w:t>
      </w:r>
      <w:proofErr w:type="spellEnd"/>
      <w:r w:rsidRPr="00CA3781">
        <w:rPr>
          <w:b/>
          <w:color w:val="1F497D"/>
          <w:sz w:val="28"/>
          <w:szCs w:val="28"/>
        </w:rPr>
        <w:t>.</w:t>
      </w:r>
      <w:r>
        <w:rPr>
          <w:b/>
          <w:color w:val="1F497D"/>
          <w:sz w:val="28"/>
          <w:szCs w:val="28"/>
        </w:rPr>
        <w:t xml:space="preserve"> diversa dalla</w:t>
      </w:r>
      <w:r w:rsidRPr="00CA3781">
        <w:rPr>
          <w:b/>
          <w:color w:val="1F497D"/>
          <w:sz w:val="28"/>
          <w:szCs w:val="28"/>
        </w:rPr>
        <w:t xml:space="preserve"> progettazione</w:t>
      </w:r>
      <w:r>
        <w:rPr>
          <w:color w:val="1F497D"/>
          <w:sz w:val="28"/>
          <w:szCs w:val="28"/>
        </w:rPr>
        <w:t xml:space="preserve">: in tal caso verrà mantenuta la prenotazione assunta per il </w:t>
      </w:r>
      <w:proofErr w:type="spellStart"/>
      <w:r>
        <w:rPr>
          <w:color w:val="1F497D"/>
          <w:sz w:val="28"/>
          <w:szCs w:val="28"/>
        </w:rPr>
        <w:t>q.e.p</w:t>
      </w:r>
      <w:proofErr w:type="spellEnd"/>
      <w:r>
        <w:rPr>
          <w:color w:val="1F497D"/>
          <w:sz w:val="28"/>
          <w:szCs w:val="28"/>
        </w:rPr>
        <w:t>. sino alla chiusura dell’opera;</w:t>
      </w:r>
    </w:p>
    <w:p w:rsidR="00520213" w:rsidRDefault="00CA3781" w:rsidP="00650F8D">
      <w:pPr>
        <w:pStyle w:val="Paragrafoelenco"/>
        <w:numPr>
          <w:ilvl w:val="0"/>
          <w:numId w:val="16"/>
        </w:numPr>
        <w:jc w:val="both"/>
        <w:rPr>
          <w:color w:val="1F497D"/>
          <w:sz w:val="28"/>
          <w:szCs w:val="28"/>
        </w:rPr>
      </w:pPr>
      <w:r w:rsidRPr="00CA3781">
        <w:rPr>
          <w:b/>
          <w:color w:val="1F497D"/>
          <w:sz w:val="28"/>
          <w:szCs w:val="28"/>
        </w:rPr>
        <w:t>è stata formalmente indetta entro l’esercizio la gara per i lavori</w:t>
      </w:r>
      <w:r w:rsidR="00466166">
        <w:rPr>
          <w:b/>
          <w:color w:val="1F497D"/>
          <w:sz w:val="28"/>
          <w:szCs w:val="28"/>
        </w:rPr>
        <w:t>, benché non ancora aggiudicata</w:t>
      </w:r>
      <w:r>
        <w:rPr>
          <w:color w:val="1F497D"/>
          <w:sz w:val="28"/>
          <w:szCs w:val="28"/>
        </w:rPr>
        <w:t>: in tal caso verrà mantenuta la prenotazione assunta per i</w:t>
      </w:r>
      <w:r w:rsidR="00466166">
        <w:rPr>
          <w:color w:val="1F497D"/>
          <w:sz w:val="28"/>
          <w:szCs w:val="28"/>
        </w:rPr>
        <w:t xml:space="preserve"> lavori</w:t>
      </w:r>
      <w:r>
        <w:rPr>
          <w:color w:val="1F497D"/>
          <w:sz w:val="28"/>
          <w:szCs w:val="28"/>
        </w:rPr>
        <w:t xml:space="preserve"> e quella relativa alle altre voci del </w:t>
      </w:r>
      <w:proofErr w:type="spellStart"/>
      <w:r>
        <w:rPr>
          <w:color w:val="1F497D"/>
          <w:sz w:val="28"/>
          <w:szCs w:val="28"/>
        </w:rPr>
        <w:t>q.e.p</w:t>
      </w:r>
      <w:proofErr w:type="spellEnd"/>
      <w:r>
        <w:rPr>
          <w:color w:val="1F497D"/>
          <w:sz w:val="28"/>
          <w:szCs w:val="28"/>
        </w:rPr>
        <w:t xml:space="preserve">. </w:t>
      </w:r>
      <w:r w:rsidR="00466166">
        <w:rPr>
          <w:color w:val="1F497D"/>
          <w:sz w:val="28"/>
          <w:szCs w:val="28"/>
        </w:rPr>
        <w:t xml:space="preserve">(in quanto esistenti) </w:t>
      </w:r>
      <w:r>
        <w:rPr>
          <w:color w:val="1F497D"/>
          <w:sz w:val="28"/>
          <w:szCs w:val="28"/>
        </w:rPr>
        <w:t xml:space="preserve">per un ulteriore esercizio </w:t>
      </w:r>
      <w:r>
        <w:rPr>
          <w:i/>
          <w:color w:val="1F497D"/>
          <w:sz w:val="28"/>
          <w:szCs w:val="28"/>
        </w:rPr>
        <w:t xml:space="preserve">(N.B. </w:t>
      </w:r>
      <w:proofErr w:type="gramStart"/>
      <w:r>
        <w:rPr>
          <w:i/>
          <w:color w:val="1F497D"/>
          <w:sz w:val="28"/>
          <w:szCs w:val="28"/>
        </w:rPr>
        <w:t>le prenotazione</w:t>
      </w:r>
      <w:proofErr w:type="gramEnd"/>
      <w:r>
        <w:rPr>
          <w:i/>
          <w:color w:val="1F497D"/>
          <w:sz w:val="28"/>
          <w:szCs w:val="28"/>
        </w:rPr>
        <w:t xml:space="preserve"> poi verranno cancellate</w:t>
      </w:r>
      <w:r w:rsidR="00FB7D3B" w:rsidRPr="00FB7D3B">
        <w:rPr>
          <w:i/>
          <w:color w:val="1F497D"/>
          <w:sz w:val="28"/>
          <w:szCs w:val="28"/>
        </w:rPr>
        <w:t xml:space="preserve"> l’anno successivo in caso di mancata aggiudicazione</w:t>
      </w:r>
      <w:r w:rsidR="00FB7D3B">
        <w:rPr>
          <w:i/>
          <w:color w:val="1F497D"/>
          <w:sz w:val="28"/>
          <w:szCs w:val="28"/>
        </w:rPr>
        <w:t xml:space="preserve"> e confluir</w:t>
      </w:r>
      <w:r>
        <w:rPr>
          <w:i/>
          <w:color w:val="1F497D"/>
          <w:sz w:val="28"/>
          <w:szCs w:val="28"/>
        </w:rPr>
        <w:t>anno</w:t>
      </w:r>
      <w:r w:rsidR="00FB7D3B">
        <w:rPr>
          <w:i/>
          <w:color w:val="1F497D"/>
          <w:sz w:val="28"/>
          <w:szCs w:val="28"/>
        </w:rPr>
        <w:t xml:space="preserve"> in avanzo</w:t>
      </w:r>
      <w:r w:rsidR="00FB7D3B" w:rsidRPr="00FB7D3B">
        <w:rPr>
          <w:i/>
          <w:color w:val="1F497D"/>
          <w:sz w:val="28"/>
          <w:szCs w:val="28"/>
        </w:rPr>
        <w:t>)</w:t>
      </w:r>
      <w:r w:rsidR="00FB7D3B">
        <w:rPr>
          <w:color w:val="1F497D"/>
          <w:sz w:val="28"/>
          <w:szCs w:val="28"/>
        </w:rPr>
        <w:t>.</w:t>
      </w:r>
    </w:p>
    <w:p w:rsidR="008F54A7" w:rsidRDefault="008F54A7" w:rsidP="0093774C">
      <w:pPr>
        <w:jc w:val="both"/>
        <w:rPr>
          <w:color w:val="1F497D"/>
          <w:sz w:val="28"/>
          <w:szCs w:val="28"/>
        </w:rPr>
      </w:pPr>
    </w:p>
    <w:p w:rsidR="00B269FF" w:rsidRPr="00661175" w:rsidRDefault="00B269FF" w:rsidP="0093774C">
      <w:pPr>
        <w:jc w:val="both"/>
        <w:rPr>
          <w:color w:val="1F497D"/>
          <w:sz w:val="28"/>
          <w:szCs w:val="28"/>
        </w:rPr>
      </w:pPr>
      <w:r w:rsidRPr="00661175">
        <w:rPr>
          <w:color w:val="1F497D"/>
          <w:sz w:val="28"/>
          <w:szCs w:val="28"/>
        </w:rPr>
        <w:t xml:space="preserve">L’ufficio impegni, avrà </w:t>
      </w:r>
      <w:r w:rsidR="00661175">
        <w:rPr>
          <w:color w:val="1F497D"/>
          <w:sz w:val="28"/>
          <w:szCs w:val="28"/>
        </w:rPr>
        <w:t>cura di inserire nella prenotazione</w:t>
      </w:r>
      <w:r w:rsidR="00D22977">
        <w:rPr>
          <w:color w:val="1F497D"/>
          <w:sz w:val="28"/>
          <w:szCs w:val="28"/>
        </w:rPr>
        <w:t xml:space="preserve"> per la prenotazione del </w:t>
      </w:r>
      <w:proofErr w:type="spellStart"/>
      <w:r w:rsidR="00D22977">
        <w:rPr>
          <w:color w:val="1F497D"/>
          <w:sz w:val="28"/>
          <w:szCs w:val="28"/>
        </w:rPr>
        <w:t>q.e.p</w:t>
      </w:r>
      <w:proofErr w:type="spellEnd"/>
      <w:r w:rsidR="00D22977">
        <w:rPr>
          <w:color w:val="1F497D"/>
          <w:sz w:val="28"/>
          <w:szCs w:val="28"/>
        </w:rPr>
        <w:t>.</w:t>
      </w:r>
      <w:r w:rsidR="00412C69">
        <w:rPr>
          <w:color w:val="1F497D"/>
          <w:sz w:val="28"/>
          <w:szCs w:val="28"/>
        </w:rPr>
        <w:t>,</w:t>
      </w:r>
      <w:r w:rsidR="00661175">
        <w:rPr>
          <w:color w:val="1F497D"/>
          <w:sz w:val="28"/>
          <w:szCs w:val="28"/>
        </w:rPr>
        <w:t xml:space="preserve"> </w:t>
      </w:r>
      <w:r w:rsidRPr="00661175">
        <w:rPr>
          <w:color w:val="1F497D"/>
          <w:sz w:val="28"/>
          <w:szCs w:val="28"/>
        </w:rPr>
        <w:t>la causale generica “</w:t>
      </w:r>
      <w:r w:rsidR="00E6677C" w:rsidRPr="00A86379">
        <w:rPr>
          <w:b/>
          <w:color w:val="1F497D"/>
          <w:sz w:val="28"/>
          <w:szCs w:val="28"/>
        </w:rPr>
        <w:t xml:space="preserve">descrizione </w:t>
      </w:r>
      <w:r w:rsidR="00375DDA" w:rsidRPr="00A86379">
        <w:rPr>
          <w:b/>
          <w:color w:val="1F497D"/>
          <w:sz w:val="28"/>
          <w:szCs w:val="28"/>
        </w:rPr>
        <w:t xml:space="preserve">lavoro </w:t>
      </w:r>
      <w:r w:rsidR="00786402" w:rsidRPr="00A86379">
        <w:rPr>
          <w:b/>
          <w:color w:val="1F497D"/>
          <w:sz w:val="28"/>
          <w:szCs w:val="28"/>
        </w:rPr>
        <w:t>(</w:t>
      </w:r>
      <w:r w:rsidR="00375DDA" w:rsidRPr="00A86379">
        <w:rPr>
          <w:b/>
          <w:color w:val="1F497D"/>
          <w:sz w:val="28"/>
          <w:szCs w:val="28"/>
        </w:rPr>
        <w:t>o spesa</w:t>
      </w:r>
      <w:r w:rsidR="00786402" w:rsidRPr="00A86379">
        <w:rPr>
          <w:b/>
          <w:color w:val="1F497D"/>
          <w:sz w:val="28"/>
          <w:szCs w:val="28"/>
        </w:rPr>
        <w:t>)</w:t>
      </w:r>
      <w:r w:rsidR="00E6677C" w:rsidRPr="00A86379">
        <w:rPr>
          <w:b/>
          <w:color w:val="1F497D"/>
          <w:sz w:val="28"/>
          <w:szCs w:val="28"/>
        </w:rPr>
        <w:t xml:space="preserve"> - </w:t>
      </w:r>
      <w:r w:rsidRPr="00A86379">
        <w:rPr>
          <w:b/>
          <w:color w:val="1F497D"/>
          <w:sz w:val="28"/>
          <w:szCs w:val="28"/>
        </w:rPr>
        <w:t>quadro economico</w:t>
      </w:r>
      <w:r w:rsidR="00412C69" w:rsidRPr="00A86379">
        <w:rPr>
          <w:b/>
          <w:color w:val="1F497D"/>
          <w:sz w:val="28"/>
          <w:szCs w:val="28"/>
        </w:rPr>
        <w:t xml:space="preserve"> di progetto</w:t>
      </w:r>
      <w:r w:rsidRPr="00661175">
        <w:rPr>
          <w:color w:val="1F497D"/>
          <w:sz w:val="28"/>
          <w:szCs w:val="28"/>
        </w:rPr>
        <w:t>”.</w:t>
      </w:r>
    </w:p>
    <w:p w:rsidR="00987C0A" w:rsidRDefault="00987C0A" w:rsidP="0093774C">
      <w:pPr>
        <w:jc w:val="both"/>
        <w:rPr>
          <w:color w:val="1F497D"/>
          <w:sz w:val="28"/>
          <w:szCs w:val="28"/>
        </w:rPr>
      </w:pPr>
    </w:p>
    <w:p w:rsidR="00CA1BD9" w:rsidRDefault="00CA1BD9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Si invitano i RUP e la ragioneria a ridurre l’utilizzo dei </w:t>
      </w:r>
      <w:r w:rsidRPr="005910C4">
        <w:rPr>
          <w:b/>
          <w:color w:val="1F497D"/>
          <w:sz w:val="28"/>
          <w:szCs w:val="28"/>
        </w:rPr>
        <w:t>sub impegni</w:t>
      </w:r>
      <w:r>
        <w:rPr>
          <w:color w:val="1F497D"/>
          <w:sz w:val="28"/>
          <w:szCs w:val="28"/>
        </w:rPr>
        <w:t xml:space="preserve"> e dei </w:t>
      </w:r>
      <w:r w:rsidRPr="005910C4">
        <w:rPr>
          <w:b/>
          <w:color w:val="1F497D"/>
          <w:sz w:val="28"/>
          <w:szCs w:val="28"/>
        </w:rPr>
        <w:t>sub-accertamenti</w:t>
      </w:r>
      <w:r>
        <w:rPr>
          <w:color w:val="1F497D"/>
          <w:sz w:val="28"/>
          <w:szCs w:val="28"/>
        </w:rPr>
        <w:t xml:space="preserve"> ad alcuni casi </w:t>
      </w:r>
      <w:r w:rsidR="005910C4">
        <w:rPr>
          <w:color w:val="1F497D"/>
          <w:sz w:val="28"/>
          <w:szCs w:val="28"/>
        </w:rPr>
        <w:t>strettamente necessari</w:t>
      </w:r>
      <w:r w:rsidR="00A86379">
        <w:rPr>
          <w:color w:val="1F497D"/>
          <w:sz w:val="28"/>
          <w:szCs w:val="28"/>
        </w:rPr>
        <w:t xml:space="preserve"> e a </w:t>
      </w:r>
      <w:r w:rsidR="00A86379" w:rsidRPr="00D22977">
        <w:rPr>
          <w:b/>
          <w:color w:val="1F497D"/>
          <w:sz w:val="28"/>
          <w:szCs w:val="28"/>
        </w:rPr>
        <w:t>non utilizzare lo strum</w:t>
      </w:r>
      <w:r w:rsidR="00A220C0" w:rsidRPr="00D22977">
        <w:rPr>
          <w:b/>
          <w:color w:val="1F497D"/>
          <w:sz w:val="28"/>
          <w:szCs w:val="28"/>
        </w:rPr>
        <w:t>ento del dettaglio dei movimenti</w:t>
      </w:r>
      <w:r w:rsidR="00A220C0">
        <w:rPr>
          <w:color w:val="1F497D"/>
          <w:sz w:val="28"/>
          <w:szCs w:val="28"/>
        </w:rPr>
        <w:t xml:space="preserve"> (accertamenti, prenotazioni o impegni)</w:t>
      </w:r>
      <w:r w:rsidR="005910C4">
        <w:rPr>
          <w:color w:val="1F497D"/>
          <w:sz w:val="28"/>
          <w:szCs w:val="28"/>
        </w:rPr>
        <w:t>.</w:t>
      </w:r>
    </w:p>
    <w:p w:rsidR="00620991" w:rsidRDefault="00620991" w:rsidP="0093774C">
      <w:pPr>
        <w:jc w:val="both"/>
        <w:rPr>
          <w:color w:val="1F497D"/>
          <w:sz w:val="28"/>
          <w:szCs w:val="28"/>
        </w:rPr>
      </w:pPr>
    </w:p>
    <w:p w:rsidR="00CA1BD9" w:rsidRDefault="00CA1BD9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lastRenderedPageBreak/>
        <w:t>Si invita la ragioneria</w:t>
      </w:r>
      <w:r w:rsidR="00A220C0">
        <w:rPr>
          <w:color w:val="1F497D"/>
          <w:sz w:val="28"/>
          <w:szCs w:val="28"/>
        </w:rPr>
        <w:t>,</w:t>
      </w:r>
      <w:r>
        <w:rPr>
          <w:color w:val="1F497D"/>
          <w:sz w:val="28"/>
          <w:szCs w:val="28"/>
        </w:rPr>
        <w:t xml:space="preserve"> nel caso sia necessario assumere movimenti in sede di proposta di deliberazione, ad utilizzare il flag “</w:t>
      </w:r>
      <w:r w:rsidRPr="005910C4">
        <w:rPr>
          <w:b/>
          <w:color w:val="1F497D"/>
          <w:sz w:val="28"/>
          <w:szCs w:val="28"/>
        </w:rPr>
        <w:t>non esecutivo</w:t>
      </w:r>
      <w:r>
        <w:rPr>
          <w:color w:val="1F497D"/>
          <w:sz w:val="28"/>
          <w:szCs w:val="28"/>
        </w:rPr>
        <w:t>”, togliendo il flag solo al momento della trasmissione del provvedim</w:t>
      </w:r>
      <w:r w:rsidR="00A220C0">
        <w:rPr>
          <w:color w:val="1F497D"/>
          <w:sz w:val="28"/>
          <w:szCs w:val="28"/>
        </w:rPr>
        <w:t>e</w:t>
      </w:r>
      <w:r>
        <w:rPr>
          <w:color w:val="1F497D"/>
          <w:sz w:val="28"/>
          <w:szCs w:val="28"/>
        </w:rPr>
        <w:t>nto deliberativo</w:t>
      </w:r>
      <w:r w:rsidR="00A220C0">
        <w:rPr>
          <w:color w:val="1F497D"/>
          <w:sz w:val="28"/>
          <w:szCs w:val="28"/>
        </w:rPr>
        <w:t>.</w:t>
      </w:r>
    </w:p>
    <w:p w:rsidR="00CA1BD9" w:rsidRDefault="00CA1BD9" w:rsidP="0093774C">
      <w:pPr>
        <w:jc w:val="both"/>
        <w:rPr>
          <w:color w:val="1F497D"/>
          <w:sz w:val="28"/>
          <w:szCs w:val="28"/>
        </w:rPr>
      </w:pPr>
    </w:p>
    <w:p w:rsidR="00520213" w:rsidRPr="0093774C" w:rsidRDefault="00520213" w:rsidP="00520213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Si invita </w:t>
      </w:r>
      <w:r w:rsidRPr="0093774C">
        <w:rPr>
          <w:b/>
          <w:bCs/>
          <w:color w:val="1F497D"/>
          <w:sz w:val="28"/>
          <w:szCs w:val="28"/>
        </w:rPr>
        <w:t>l’ufficio impegni a rigettare ogni qualsivoglia provvedimento che non rispetti le precedenti disposizioni</w:t>
      </w:r>
      <w:r w:rsidRPr="0093774C">
        <w:rPr>
          <w:color w:val="1F497D"/>
          <w:sz w:val="28"/>
          <w:szCs w:val="28"/>
        </w:rPr>
        <w:t>.</w:t>
      </w:r>
    </w:p>
    <w:p w:rsidR="00520213" w:rsidRPr="0093774C" w:rsidRDefault="00520213" w:rsidP="00520213">
      <w:pPr>
        <w:jc w:val="both"/>
        <w:rPr>
          <w:color w:val="1F497D"/>
          <w:sz w:val="28"/>
          <w:szCs w:val="28"/>
          <w:lang w:eastAsia="it-IT"/>
        </w:rPr>
      </w:pPr>
    </w:p>
    <w:p w:rsidR="00033D4B" w:rsidRDefault="00033D4B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L’Ufficio mandati non può effettuare </w:t>
      </w:r>
      <w:r w:rsidRPr="00033D4B">
        <w:rPr>
          <w:b/>
          <w:color w:val="1F497D"/>
          <w:sz w:val="28"/>
          <w:szCs w:val="28"/>
        </w:rPr>
        <w:t>pagamenti su prenotazioni</w:t>
      </w:r>
      <w:r>
        <w:rPr>
          <w:color w:val="1F497D"/>
          <w:sz w:val="28"/>
          <w:szCs w:val="28"/>
        </w:rPr>
        <w:t xml:space="preserve"> se prima </w:t>
      </w:r>
      <w:r w:rsidR="00CE7668">
        <w:rPr>
          <w:color w:val="1F497D"/>
          <w:sz w:val="28"/>
          <w:szCs w:val="28"/>
        </w:rPr>
        <w:t>le prenotazioni non vengo</w:t>
      </w:r>
      <w:r>
        <w:rPr>
          <w:color w:val="1F497D"/>
          <w:sz w:val="28"/>
          <w:szCs w:val="28"/>
        </w:rPr>
        <w:t xml:space="preserve">no trasformate dall’ufficio impegni </w:t>
      </w:r>
      <w:r w:rsidR="00CE7668">
        <w:rPr>
          <w:color w:val="1F497D"/>
          <w:sz w:val="28"/>
          <w:szCs w:val="28"/>
        </w:rPr>
        <w:t>mediante</w:t>
      </w:r>
      <w:r>
        <w:rPr>
          <w:color w:val="1F497D"/>
          <w:sz w:val="28"/>
          <w:szCs w:val="28"/>
        </w:rPr>
        <w:t xml:space="preserve"> determinazione del RUP.</w:t>
      </w:r>
    </w:p>
    <w:p w:rsidR="00033D4B" w:rsidRDefault="00033D4B" w:rsidP="0093774C">
      <w:pPr>
        <w:jc w:val="both"/>
        <w:rPr>
          <w:color w:val="1F497D"/>
          <w:sz w:val="28"/>
          <w:szCs w:val="28"/>
        </w:rPr>
      </w:pPr>
    </w:p>
    <w:p w:rsidR="00855A88" w:rsidRDefault="00855A88" w:rsidP="0093774C">
      <w:pPr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Nella sezione modulistica s</w:t>
      </w:r>
      <w:r w:rsidR="00407060">
        <w:rPr>
          <w:color w:val="1F497D"/>
          <w:sz w:val="28"/>
          <w:szCs w:val="28"/>
        </w:rPr>
        <w:t>aranno</w:t>
      </w:r>
      <w:r>
        <w:rPr>
          <w:color w:val="1F497D"/>
          <w:sz w:val="28"/>
          <w:szCs w:val="28"/>
        </w:rPr>
        <w:t xml:space="preserve"> </w:t>
      </w:r>
      <w:r w:rsidR="00C16D56">
        <w:rPr>
          <w:color w:val="1F497D"/>
          <w:sz w:val="28"/>
          <w:szCs w:val="28"/>
        </w:rPr>
        <w:t xml:space="preserve">disponibili </w:t>
      </w:r>
      <w:r w:rsidR="00F706CF">
        <w:rPr>
          <w:color w:val="1F497D"/>
          <w:sz w:val="28"/>
          <w:szCs w:val="28"/>
        </w:rPr>
        <w:t xml:space="preserve">i </w:t>
      </w:r>
      <w:r w:rsidR="00F706CF" w:rsidRPr="00987C0A">
        <w:rPr>
          <w:b/>
          <w:color w:val="1F497D"/>
          <w:sz w:val="28"/>
          <w:szCs w:val="28"/>
        </w:rPr>
        <w:t xml:space="preserve">modelli </w:t>
      </w:r>
      <w:r w:rsidR="00F706CF">
        <w:rPr>
          <w:color w:val="1F497D"/>
          <w:sz w:val="28"/>
          <w:szCs w:val="28"/>
        </w:rPr>
        <w:t>da utilizzare per i relativi movimenti contabil</w:t>
      </w:r>
      <w:r w:rsidR="00412C69">
        <w:rPr>
          <w:color w:val="1F497D"/>
          <w:sz w:val="28"/>
          <w:szCs w:val="28"/>
        </w:rPr>
        <w:t>i.</w:t>
      </w:r>
    </w:p>
    <w:p w:rsidR="00C16D56" w:rsidRDefault="00C16D56" w:rsidP="009C7059">
      <w:pPr>
        <w:jc w:val="both"/>
        <w:rPr>
          <w:color w:val="1F497D"/>
          <w:sz w:val="28"/>
          <w:szCs w:val="28"/>
        </w:rPr>
      </w:pPr>
    </w:p>
    <w:sectPr w:rsidR="00C16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C36"/>
    <w:multiLevelType w:val="hybridMultilevel"/>
    <w:tmpl w:val="32901FA0"/>
    <w:lvl w:ilvl="0" w:tplc="0922D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1236"/>
    <w:multiLevelType w:val="hybridMultilevel"/>
    <w:tmpl w:val="69520C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BA3"/>
    <w:multiLevelType w:val="hybridMultilevel"/>
    <w:tmpl w:val="5D84FF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40D2"/>
    <w:multiLevelType w:val="hybridMultilevel"/>
    <w:tmpl w:val="DF4C0C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46AEA"/>
    <w:multiLevelType w:val="hybridMultilevel"/>
    <w:tmpl w:val="32901FA0"/>
    <w:lvl w:ilvl="0" w:tplc="0922D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F7AFB"/>
    <w:multiLevelType w:val="hybridMultilevel"/>
    <w:tmpl w:val="32901FA0"/>
    <w:lvl w:ilvl="0" w:tplc="0922D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90A75"/>
    <w:multiLevelType w:val="hybridMultilevel"/>
    <w:tmpl w:val="69520C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029A"/>
    <w:multiLevelType w:val="hybridMultilevel"/>
    <w:tmpl w:val="F738A7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C1CEA"/>
    <w:multiLevelType w:val="hybridMultilevel"/>
    <w:tmpl w:val="46709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44D7"/>
    <w:multiLevelType w:val="hybridMultilevel"/>
    <w:tmpl w:val="32901FA0"/>
    <w:lvl w:ilvl="0" w:tplc="0922D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F370D4"/>
    <w:multiLevelType w:val="hybridMultilevel"/>
    <w:tmpl w:val="8BBAF7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B5028"/>
    <w:multiLevelType w:val="hybridMultilevel"/>
    <w:tmpl w:val="02B08B96"/>
    <w:lvl w:ilvl="0" w:tplc="16D684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65DB2"/>
    <w:multiLevelType w:val="hybridMultilevel"/>
    <w:tmpl w:val="9F38BE40"/>
    <w:lvl w:ilvl="0" w:tplc="49468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E25"/>
    <w:multiLevelType w:val="hybridMultilevel"/>
    <w:tmpl w:val="3BD48CBE"/>
    <w:lvl w:ilvl="0" w:tplc="BEA201D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D4C4F"/>
    <w:multiLevelType w:val="hybridMultilevel"/>
    <w:tmpl w:val="87DA2436"/>
    <w:lvl w:ilvl="0" w:tplc="D63074E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2"/>
    <w:rsid w:val="00033D4B"/>
    <w:rsid w:val="00080BDD"/>
    <w:rsid w:val="000C321F"/>
    <w:rsid w:val="00104346"/>
    <w:rsid w:val="00147E37"/>
    <w:rsid w:val="00152837"/>
    <w:rsid w:val="001C5183"/>
    <w:rsid w:val="001D6905"/>
    <w:rsid w:val="00295DEA"/>
    <w:rsid w:val="002B4A74"/>
    <w:rsid w:val="00335886"/>
    <w:rsid w:val="00375DDA"/>
    <w:rsid w:val="0039126B"/>
    <w:rsid w:val="003A621A"/>
    <w:rsid w:val="003F4140"/>
    <w:rsid w:val="00407060"/>
    <w:rsid w:val="00412C69"/>
    <w:rsid w:val="00466166"/>
    <w:rsid w:val="004A229C"/>
    <w:rsid w:val="004B5530"/>
    <w:rsid w:val="0050335C"/>
    <w:rsid w:val="00520213"/>
    <w:rsid w:val="005241B1"/>
    <w:rsid w:val="00566DE0"/>
    <w:rsid w:val="005910C4"/>
    <w:rsid w:val="005C2968"/>
    <w:rsid w:val="005F5D10"/>
    <w:rsid w:val="005F727D"/>
    <w:rsid w:val="00620991"/>
    <w:rsid w:val="0063370C"/>
    <w:rsid w:val="00650F8D"/>
    <w:rsid w:val="00661175"/>
    <w:rsid w:val="0067412C"/>
    <w:rsid w:val="006A49A2"/>
    <w:rsid w:val="0070340D"/>
    <w:rsid w:val="00770535"/>
    <w:rsid w:val="00786170"/>
    <w:rsid w:val="00786402"/>
    <w:rsid w:val="007B188F"/>
    <w:rsid w:val="007F2946"/>
    <w:rsid w:val="00821C09"/>
    <w:rsid w:val="00851389"/>
    <w:rsid w:val="00855A88"/>
    <w:rsid w:val="00864C44"/>
    <w:rsid w:val="008C7131"/>
    <w:rsid w:val="008E322A"/>
    <w:rsid w:val="008F54A7"/>
    <w:rsid w:val="0093774C"/>
    <w:rsid w:val="00976770"/>
    <w:rsid w:val="00987C0A"/>
    <w:rsid w:val="009C7059"/>
    <w:rsid w:val="00A220C0"/>
    <w:rsid w:val="00A250EB"/>
    <w:rsid w:val="00A86379"/>
    <w:rsid w:val="00B07052"/>
    <w:rsid w:val="00B218DF"/>
    <w:rsid w:val="00B269FF"/>
    <w:rsid w:val="00B46297"/>
    <w:rsid w:val="00B53CA4"/>
    <w:rsid w:val="00BC3024"/>
    <w:rsid w:val="00BF2C3F"/>
    <w:rsid w:val="00C16D56"/>
    <w:rsid w:val="00C55CE7"/>
    <w:rsid w:val="00C564DE"/>
    <w:rsid w:val="00C57165"/>
    <w:rsid w:val="00CA1BD9"/>
    <w:rsid w:val="00CA3781"/>
    <w:rsid w:val="00CA7CB3"/>
    <w:rsid w:val="00CE7668"/>
    <w:rsid w:val="00D22977"/>
    <w:rsid w:val="00DB542D"/>
    <w:rsid w:val="00E069F5"/>
    <w:rsid w:val="00E14170"/>
    <w:rsid w:val="00E6677C"/>
    <w:rsid w:val="00E708C0"/>
    <w:rsid w:val="00E95519"/>
    <w:rsid w:val="00EA4329"/>
    <w:rsid w:val="00EC2D35"/>
    <w:rsid w:val="00ED3305"/>
    <w:rsid w:val="00F34089"/>
    <w:rsid w:val="00F706CF"/>
    <w:rsid w:val="00F91CF6"/>
    <w:rsid w:val="00FA1FD2"/>
    <w:rsid w:val="00FA2ECF"/>
    <w:rsid w:val="00FB7D3B"/>
    <w:rsid w:val="00FC7232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43E0-4F5E-46E0-B75C-143B614F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69F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69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MARIELLA MASTROMARCO</cp:lastModifiedBy>
  <cp:revision>2</cp:revision>
  <dcterms:created xsi:type="dcterms:W3CDTF">2021-09-22T10:53:00Z</dcterms:created>
  <dcterms:modified xsi:type="dcterms:W3CDTF">2021-09-22T10:53:00Z</dcterms:modified>
</cp:coreProperties>
</file>