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42B7F">
              <w:rPr>
                <w:rFonts w:ascii="Tahoma" w:hAnsi="Tahoma" w:cs="Tahoma"/>
                <w:b/>
                <w:sz w:val="28"/>
                <w:szCs w:val="28"/>
              </w:rPr>
              <w:t xml:space="preserve">R.C.G.00944_2011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42B7F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42B7F">
              <w:rPr>
                <w:rFonts w:ascii="Tahoma" w:hAnsi="Tahoma" w:cs="Tahoma"/>
              </w:rPr>
              <w:t xml:space="preserve">Det.Sett.III RCS 00239/2011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42B7F">
              <w:rPr>
                <w:rFonts w:ascii="Tahoma" w:hAnsi="Tahoma" w:cs="Tahoma"/>
              </w:rPr>
              <w:t xml:space="preserve">23/06/2011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42B7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42B7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42B7F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42B7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42B7F">
        <w:rPr>
          <w:rFonts w:ascii="Tahoma" w:hAnsi="Tahoma" w:cs="Tahoma"/>
          <w:b/>
        </w:rPr>
        <w:t xml:space="preserve">Fornitura carburante per autotrazione mediante Fuel Card per gli automezzi dati in dotazione all’A.O. III Tecnica LL.PP. - Ditta Kuwait Petroleum S.p.A./Roma, convenzionata CONSIP.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B7F" w:rsidRDefault="00542B7F">
      <w:r>
        <w:separator/>
      </w:r>
    </w:p>
  </w:endnote>
  <w:endnote w:type="continuationSeparator" w:id="0">
    <w:p w:rsidR="00542B7F" w:rsidRDefault="00542B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B7F" w:rsidRDefault="00542B7F">
      <w:r>
        <w:separator/>
      </w:r>
    </w:p>
  </w:footnote>
  <w:footnote w:type="continuationSeparator" w:id="0">
    <w:p w:rsidR="00542B7F" w:rsidRDefault="00542B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2B7F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2011-06-29T07:54:00Z</dcterms:created>
  <dcterms:modified xsi:type="dcterms:W3CDTF">2011-06-29T07:54:00Z</dcterms:modified>
</cp:coreProperties>
</file>