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60231">
              <w:rPr>
                <w:rFonts w:ascii="Tahoma" w:hAnsi="Tahoma" w:cs="Tahoma"/>
                <w:b/>
                <w:sz w:val="28"/>
                <w:szCs w:val="28"/>
              </w:rPr>
              <w:t xml:space="preserve">R.C.G.01106_2011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60231">
              <w:rPr>
                <w:rFonts w:ascii="Tahoma" w:hAnsi="Tahoma" w:cs="Tahoma"/>
                <w:b/>
                <w:sz w:val="28"/>
                <w:szCs w:val="28"/>
              </w:rPr>
              <w:t xml:space="preserve">22/07/2011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60231">
              <w:rPr>
                <w:rFonts w:ascii="Tahoma" w:hAnsi="Tahoma" w:cs="Tahoma"/>
              </w:rPr>
              <w:t xml:space="preserve">Det.Sett.III RCS 00282/2011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60231">
              <w:rPr>
                <w:rFonts w:ascii="Tahoma" w:hAnsi="Tahoma" w:cs="Tahoma"/>
              </w:rPr>
              <w:t xml:space="preserve">21/07/2011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6023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6023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60231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6023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60231">
        <w:rPr>
          <w:rFonts w:ascii="Tahoma" w:hAnsi="Tahoma" w:cs="Tahoma"/>
          <w:b/>
        </w:rPr>
        <w:t xml:space="preserve">Lavori di completamento del consolidamento strutturale e del miglioramento statico dell’immobile comunale Palazzo Martinelli (CUP G17H03000130001) - Frazionamento della spesa globale assunta per pagamento ENI S.p.A. – Divisione GAS &amp; POWER.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231" w:rsidRDefault="00660231">
      <w:r>
        <w:separator/>
      </w:r>
    </w:p>
  </w:endnote>
  <w:endnote w:type="continuationSeparator" w:id="0">
    <w:p w:rsidR="00660231" w:rsidRDefault="006602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231" w:rsidRDefault="00660231">
      <w:r>
        <w:separator/>
      </w:r>
    </w:p>
  </w:footnote>
  <w:footnote w:type="continuationSeparator" w:id="0">
    <w:p w:rsidR="00660231" w:rsidRDefault="006602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60231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2011-07-22T07:12:00Z</dcterms:created>
  <dcterms:modified xsi:type="dcterms:W3CDTF">2011-07-22T07:12:00Z</dcterms:modified>
</cp:coreProperties>
</file>