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9A0B69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616CD">
              <w:rPr>
                <w:rFonts w:ascii="Tahoma" w:hAnsi="Tahoma" w:cs="Tahoma"/>
                <w:b/>
                <w:sz w:val="28"/>
                <w:szCs w:val="28"/>
              </w:rPr>
              <w:t>R.C.G.01112</w:t>
            </w:r>
            <w:r w:rsidR="009A0B69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4616CD">
              <w:rPr>
                <w:rFonts w:ascii="Tahoma" w:hAnsi="Tahoma" w:cs="Tahoma"/>
                <w:b/>
                <w:sz w:val="28"/>
                <w:szCs w:val="28"/>
              </w:rPr>
              <w:t xml:space="preserve">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616CD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616CD">
              <w:rPr>
                <w:rFonts w:ascii="Tahoma" w:hAnsi="Tahoma" w:cs="Tahoma"/>
              </w:rPr>
              <w:t xml:space="preserve">Det.Sett.III RCS 00279/2011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616CD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616C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616C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616CD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616C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616CD">
        <w:rPr>
          <w:rFonts w:ascii="Tahoma" w:hAnsi="Tahoma" w:cs="Tahoma"/>
          <w:b/>
        </w:rPr>
        <w:t xml:space="preserve">P.O. FESR 2007/2013. Asse IV – Linea di intervento 4.1: “lavori di riassetto dei liberi accessi al mare”. D.P.R. 08.06.2001, nr.327, art.20: ordine di deposito alla Cassa DD.PP. dell’indennità provvisoria non accettata dai proprietari espropriandi.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1F1" w:rsidRDefault="007441F1">
      <w:r>
        <w:separator/>
      </w:r>
    </w:p>
  </w:endnote>
  <w:endnote w:type="continuationSeparator" w:id="1">
    <w:p w:rsidR="007441F1" w:rsidRDefault="00744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1F1" w:rsidRDefault="007441F1">
      <w:r>
        <w:separator/>
      </w:r>
    </w:p>
  </w:footnote>
  <w:footnote w:type="continuationSeparator" w:id="1">
    <w:p w:rsidR="007441F1" w:rsidRDefault="007441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16CD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41F1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0B6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dcterms:created xsi:type="dcterms:W3CDTF">2011-07-22T08:56:00Z</dcterms:created>
  <dcterms:modified xsi:type="dcterms:W3CDTF">2011-07-22T08:56:00Z</dcterms:modified>
</cp:coreProperties>
</file>