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66A23">
              <w:rPr>
                <w:rFonts w:ascii="Tahoma" w:hAnsi="Tahoma" w:cs="Tahoma"/>
                <w:b/>
                <w:sz w:val="28"/>
                <w:szCs w:val="28"/>
              </w:rPr>
              <w:t xml:space="preserve">R.C.G.01165_2011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66A23">
              <w:rPr>
                <w:rFonts w:ascii="Tahoma" w:hAnsi="Tahoma" w:cs="Tahoma"/>
                <w:b/>
                <w:sz w:val="28"/>
                <w:szCs w:val="28"/>
              </w:rPr>
              <w:t xml:space="preserve">05/08/2011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66A23">
              <w:rPr>
                <w:rFonts w:ascii="Tahoma" w:hAnsi="Tahoma" w:cs="Tahoma"/>
              </w:rPr>
              <w:t xml:space="preserve">Det.Sett.VII RCS 00060/2011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66A23">
              <w:rPr>
                <w:rFonts w:ascii="Tahoma" w:hAnsi="Tahoma" w:cs="Tahoma"/>
              </w:rPr>
              <w:t xml:space="preserve">05/08/2011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66A2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66A2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66A23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66A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66A23">
        <w:rPr>
          <w:rFonts w:ascii="Tahoma" w:hAnsi="Tahoma" w:cs="Tahoma"/>
          <w:b/>
        </w:rPr>
        <w:t xml:space="preserve">OGGETTO: Determinazione conclusiva del procedimento, ex art. 14-ter, comma 6 – bis –, relativa a conferenza dei servizi ex art. 4, comma 2 del DPR 447/98 - Panificio L’Assunta di Brunetti Onofrio &amp; Figli S.a.s. di Brunetti Leonardo &amp; 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A23" w:rsidRDefault="00F66A23">
      <w:r>
        <w:separator/>
      </w:r>
    </w:p>
  </w:endnote>
  <w:endnote w:type="continuationSeparator" w:id="0">
    <w:p w:rsidR="00F66A23" w:rsidRDefault="00F66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A23" w:rsidRDefault="00F66A23">
      <w:r>
        <w:separator/>
      </w:r>
    </w:p>
  </w:footnote>
  <w:footnote w:type="continuationSeparator" w:id="0">
    <w:p w:rsidR="00F66A23" w:rsidRDefault="00F66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6A2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2011-09-05T10:26:00Z</dcterms:created>
  <dcterms:modified xsi:type="dcterms:W3CDTF">2011-09-05T10:26:00Z</dcterms:modified>
</cp:coreProperties>
</file>