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6D74">
              <w:rPr>
                <w:rFonts w:ascii="Tahoma" w:hAnsi="Tahoma" w:cs="Tahoma"/>
                <w:b/>
                <w:sz w:val="28"/>
                <w:szCs w:val="28"/>
              </w:rPr>
              <w:t xml:space="preserve">R.C.G.01251_2011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6D74">
              <w:rPr>
                <w:rFonts w:ascii="Tahoma" w:hAnsi="Tahoma" w:cs="Tahoma"/>
                <w:b/>
                <w:sz w:val="28"/>
                <w:szCs w:val="28"/>
              </w:rPr>
              <w:t xml:space="preserve">07/09/2011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6D74">
              <w:rPr>
                <w:rFonts w:ascii="Tahoma" w:hAnsi="Tahoma" w:cs="Tahoma"/>
              </w:rPr>
              <w:t xml:space="preserve">Det.Sett.VII RCS 00067/2011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6D74">
              <w:rPr>
                <w:rFonts w:ascii="Tahoma" w:hAnsi="Tahoma" w:cs="Tahoma"/>
              </w:rPr>
              <w:t xml:space="preserve">07/09/2011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6D7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6D7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6D74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6D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6D74">
        <w:rPr>
          <w:rFonts w:ascii="Tahoma" w:hAnsi="Tahoma" w:cs="Tahoma"/>
          <w:b/>
        </w:rPr>
        <w:t xml:space="preserve">INDIZIONE CONFERENZA DI SERVIZI AI SENSI DELL’ART. 4, COMMA 2 DEL DPR 447/98 PER IL SUPERAMENTO DELLA PRONUNCIA NEGATIVA E CONVOCAZIONE PER IL 12/09/2011 – CANTANNA EUGENIA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D74" w:rsidRDefault="003F6D74">
      <w:r>
        <w:separator/>
      </w:r>
    </w:p>
  </w:endnote>
  <w:endnote w:type="continuationSeparator" w:id="0">
    <w:p w:rsidR="003F6D74" w:rsidRDefault="003F6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D74" w:rsidRDefault="003F6D74">
      <w:r>
        <w:separator/>
      </w:r>
    </w:p>
  </w:footnote>
  <w:footnote w:type="continuationSeparator" w:id="0">
    <w:p w:rsidR="003F6D74" w:rsidRDefault="003F6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6D7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2011-09-07T12:39:00Z</dcterms:created>
  <dcterms:modified xsi:type="dcterms:W3CDTF">2011-09-07T12:39:00Z</dcterms:modified>
</cp:coreProperties>
</file>