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F6630">
              <w:rPr>
                <w:rFonts w:ascii="Tahoma" w:hAnsi="Tahoma" w:cs="Tahoma"/>
                <w:b/>
                <w:sz w:val="28"/>
                <w:szCs w:val="28"/>
              </w:rPr>
              <w:t xml:space="preserve">R.C.G.01347_2011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F6630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F6630">
              <w:rPr>
                <w:rFonts w:ascii="Tahoma" w:hAnsi="Tahoma" w:cs="Tahoma"/>
              </w:rPr>
              <w:t xml:space="preserve">Det.Sett.IV RCS 00072/2011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F6630">
              <w:rPr>
                <w:rFonts w:ascii="Tahoma" w:hAnsi="Tahoma" w:cs="Tahoma"/>
              </w:rPr>
              <w:t xml:space="preserve">14/09/2011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F6630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F6630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F6630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F6630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F6630">
        <w:rPr>
          <w:rFonts w:ascii="Tahoma" w:hAnsi="Tahoma" w:cs="Tahoma"/>
          <w:b/>
        </w:rPr>
        <w:t xml:space="preserve">Legge Regionale n. 3 del 09.03.2009 “Norme in materia di regolamento edilizio”. Liquidazione incentivo per redazione Regolamento Edilizio.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F6630" w:rsidRDefault="00AF6630" w:rsidP="00AF6630">
      <w:pPr>
        <w:rPr>
          <w:rFonts w:ascii="Tahoma" w:hAnsi="Tahoma" w:cs="Tahoma"/>
        </w:rPr>
      </w:pP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MARCO BORGO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CALIANDRO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GIUSTINA PETRELLA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DOMENICO TODISCO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ANGELO DOMENICO SPORTELLI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FILIPPO DANESE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ZAMPA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EGIDIO TODISCO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NICOLA DI TARANTO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LABRUNA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TERRAFINO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DAMORE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AF6630" w:rsidRPr="00AF6630" w:rsidRDefault="00AF6630" w:rsidP="00AF66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D'AMBRUOSO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630" w:rsidRDefault="00AF6630">
      <w:r>
        <w:separator/>
      </w:r>
    </w:p>
  </w:endnote>
  <w:endnote w:type="continuationSeparator" w:id="1">
    <w:p w:rsidR="00AF6630" w:rsidRDefault="00AF66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630" w:rsidRDefault="00AF6630">
      <w:r>
        <w:separator/>
      </w:r>
    </w:p>
  </w:footnote>
  <w:footnote w:type="continuationSeparator" w:id="1">
    <w:p w:rsidR="00AF6630" w:rsidRDefault="00AF66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F6630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2011-10-03T10:34:00Z</dcterms:created>
  <dcterms:modified xsi:type="dcterms:W3CDTF">2011-10-03T10:34:00Z</dcterms:modified>
</cp:coreProperties>
</file>