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48B5">
              <w:rPr>
                <w:rFonts w:ascii="Tahoma" w:hAnsi="Tahoma" w:cs="Tahoma"/>
                <w:b/>
                <w:sz w:val="28"/>
                <w:szCs w:val="28"/>
              </w:rPr>
              <w:t xml:space="preserve">R.C.G.01341_2011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48B5">
              <w:rPr>
                <w:rFonts w:ascii="Tahoma" w:hAnsi="Tahoma" w:cs="Tahoma"/>
                <w:b/>
                <w:sz w:val="28"/>
                <w:szCs w:val="28"/>
              </w:rPr>
              <w:t xml:space="preserve">30/09/2011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48B5">
              <w:rPr>
                <w:rFonts w:ascii="Tahoma" w:hAnsi="Tahoma" w:cs="Tahoma"/>
              </w:rPr>
              <w:t xml:space="preserve">Det.Sett.IV RCS 00077/2011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48B5">
              <w:rPr>
                <w:rFonts w:ascii="Tahoma" w:hAnsi="Tahoma" w:cs="Tahoma"/>
              </w:rPr>
              <w:t xml:space="preserve">30/09/2011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48B5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48B5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48B5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48B5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48B5">
        <w:rPr>
          <w:rFonts w:ascii="Tahoma" w:hAnsi="Tahoma" w:cs="Tahoma"/>
          <w:b/>
        </w:rPr>
        <w:t xml:space="preserve">“Cartellonistica e sentieri panoramici della ‘Murgia dei Trulli’”. PO FESR 2007/2013–Asse 4–Linea di intervento 4.4– Rideterminazione del quadro economico del P.E. approvato con det.dir. n.535/2011 e rideterminato con det.dir. n.922/2011.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8B5" w:rsidRDefault="001A48B5">
      <w:r>
        <w:separator/>
      </w:r>
    </w:p>
  </w:endnote>
  <w:endnote w:type="continuationSeparator" w:id="1">
    <w:p w:rsidR="001A48B5" w:rsidRDefault="001A4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8B5" w:rsidRDefault="001A48B5">
      <w:r>
        <w:separator/>
      </w:r>
    </w:p>
  </w:footnote>
  <w:footnote w:type="continuationSeparator" w:id="1">
    <w:p w:rsidR="001A48B5" w:rsidRDefault="001A48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48B5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2011-10-17T07:58:00Z</dcterms:created>
  <dcterms:modified xsi:type="dcterms:W3CDTF">2011-10-17T07:58:00Z</dcterms:modified>
</cp:coreProperties>
</file>