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101F0">
              <w:rPr>
                <w:rFonts w:ascii="Tahoma" w:hAnsi="Tahoma" w:cs="Tahoma"/>
                <w:b/>
                <w:sz w:val="28"/>
                <w:szCs w:val="28"/>
              </w:rPr>
              <w:t xml:space="preserve">R.C.G.01426_2011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101F0">
              <w:rPr>
                <w:rFonts w:ascii="Tahoma" w:hAnsi="Tahoma" w:cs="Tahoma"/>
                <w:b/>
                <w:sz w:val="28"/>
                <w:szCs w:val="28"/>
              </w:rPr>
              <w:t xml:space="preserve">14/10/2011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101F0">
              <w:rPr>
                <w:rFonts w:ascii="Tahoma" w:hAnsi="Tahoma" w:cs="Tahoma"/>
              </w:rPr>
              <w:t xml:space="preserve">Det.Sett.I RCS 00302/2011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101F0">
              <w:rPr>
                <w:rFonts w:ascii="Tahoma" w:hAnsi="Tahoma" w:cs="Tahoma"/>
              </w:rPr>
              <w:t xml:space="preserve">12/10/2011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101F0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101F0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101F0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101F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101F0">
        <w:rPr>
          <w:rFonts w:ascii="Tahoma" w:hAnsi="Tahoma" w:cs="Tahoma"/>
          <w:b/>
        </w:rPr>
        <w:t xml:space="preserve">CAUSA CIVILE STEFANIA GIUSEPPE C/COMUNE DI MONOPOLI. SENTENZA DEL GIUDICE DI PACE DI MONOPOLI N. 216/2011. PROVVEDIMENTI CONSEGUENTI.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01F0" w:rsidRDefault="00B101F0">
      <w:r>
        <w:separator/>
      </w:r>
    </w:p>
  </w:endnote>
  <w:endnote w:type="continuationSeparator" w:id="1">
    <w:p w:rsidR="00B101F0" w:rsidRDefault="00B101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01F0" w:rsidRDefault="00B101F0">
      <w:r>
        <w:separator/>
      </w:r>
    </w:p>
  </w:footnote>
  <w:footnote w:type="continuationSeparator" w:id="1">
    <w:p w:rsidR="00B101F0" w:rsidRDefault="00B101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101F0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2011-10-17T11:49:00Z</dcterms:created>
  <dcterms:modified xsi:type="dcterms:W3CDTF">2011-10-17T11:49:00Z</dcterms:modified>
</cp:coreProperties>
</file>