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57B0">
              <w:rPr>
                <w:rFonts w:ascii="Tahoma" w:hAnsi="Tahoma" w:cs="Tahoma"/>
                <w:b/>
                <w:sz w:val="28"/>
                <w:szCs w:val="28"/>
              </w:rPr>
              <w:t xml:space="preserve">R.C.G.01437_2011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57B0">
              <w:rPr>
                <w:rFonts w:ascii="Tahoma" w:hAnsi="Tahoma" w:cs="Tahoma"/>
                <w:b/>
                <w:sz w:val="28"/>
                <w:szCs w:val="28"/>
              </w:rPr>
              <w:t xml:space="preserve">19/10/2011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57B0">
              <w:rPr>
                <w:rFonts w:ascii="Tahoma" w:hAnsi="Tahoma" w:cs="Tahoma"/>
              </w:rPr>
              <w:t xml:space="preserve">Det.Sett.VI RCS 00120/2011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57B0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57B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57B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57B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57B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57B0">
        <w:rPr>
          <w:rFonts w:ascii="Tahoma" w:hAnsi="Tahoma" w:cs="Tahoma"/>
          <w:b/>
        </w:rPr>
        <w:t xml:space="preserve">6° Momento progettuale "Commercio, sagre, Fiere in sicurezza ... 2011" approvazione Relazione finale e liquidazione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57B0" w:rsidRDefault="009F57B0" w:rsidP="009F57B0">
      <w:pPr>
        <w:rPr>
          <w:rFonts w:ascii="Tahoma" w:hAnsi="Tahoma" w:cs="Tahoma"/>
        </w:rPr>
      </w:pPr>
    </w:p>
    <w:p w:rsidR="009F57B0" w:rsidRPr="009F57B0" w:rsidRDefault="009F57B0" w:rsidP="009F57B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F57B0" w:rsidRPr="009F57B0" w:rsidRDefault="009F57B0" w:rsidP="009F57B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9F57B0" w:rsidRPr="009F57B0" w:rsidRDefault="009F57B0" w:rsidP="009F57B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7B0" w:rsidRDefault="009F57B0">
      <w:r>
        <w:separator/>
      </w:r>
    </w:p>
  </w:endnote>
  <w:endnote w:type="continuationSeparator" w:id="1">
    <w:p w:rsidR="009F57B0" w:rsidRDefault="009F5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7B0" w:rsidRDefault="009F57B0">
      <w:r>
        <w:separator/>
      </w:r>
    </w:p>
  </w:footnote>
  <w:footnote w:type="continuationSeparator" w:id="1">
    <w:p w:rsidR="009F57B0" w:rsidRDefault="009F5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57B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2011-10-19T14:24:00Z</dcterms:created>
  <dcterms:modified xsi:type="dcterms:W3CDTF">2011-10-19T14:24:00Z</dcterms:modified>
</cp:coreProperties>
</file>