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E7AA0">
              <w:rPr>
                <w:rFonts w:ascii="Tahoma" w:hAnsi="Tahoma" w:cs="Tahoma"/>
                <w:b/>
                <w:sz w:val="28"/>
                <w:szCs w:val="28"/>
              </w:rPr>
              <w:t xml:space="preserve">R.C.G.01450_2011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E7AA0">
              <w:rPr>
                <w:rFonts w:ascii="Tahoma" w:hAnsi="Tahoma" w:cs="Tahoma"/>
                <w:b/>
                <w:sz w:val="28"/>
                <w:szCs w:val="28"/>
              </w:rPr>
              <w:t xml:space="preserve">20/10/2011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E7AA0">
              <w:rPr>
                <w:rFonts w:ascii="Tahoma" w:hAnsi="Tahoma" w:cs="Tahoma"/>
              </w:rPr>
              <w:t xml:space="preserve">Det.Sett.III RCS 00357/2011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E7AA0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E7AA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E7AA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E7AA0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E7AA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E7AA0">
        <w:rPr>
          <w:rFonts w:ascii="Tahoma" w:hAnsi="Tahoma" w:cs="Tahoma"/>
          <w:b/>
        </w:rPr>
        <w:t xml:space="preserve">Affidamento urgenti lavori per il ripristino della funzionalità delle due boe in avaria apposte ad interdizione e segnalazione a seguito di sequestro preventivo dell’impianto di depurazione con provvedimento nr.13500/2007 R.G.N.R.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E7AA0" w:rsidRDefault="003E7AA0" w:rsidP="003E7AA0">
      <w:pPr>
        <w:rPr>
          <w:rFonts w:ascii="Tahoma" w:hAnsi="Tahoma" w:cs="Tahoma"/>
        </w:rPr>
      </w:pPr>
    </w:p>
    <w:p w:rsidR="003E7AA0" w:rsidRPr="003E7AA0" w:rsidRDefault="003E7AA0" w:rsidP="003E7AA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AA0" w:rsidRDefault="003E7AA0">
      <w:r>
        <w:separator/>
      </w:r>
    </w:p>
  </w:endnote>
  <w:endnote w:type="continuationSeparator" w:id="0">
    <w:p w:rsidR="003E7AA0" w:rsidRDefault="003E7A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AA0" w:rsidRDefault="003E7AA0">
      <w:r>
        <w:separator/>
      </w:r>
    </w:p>
  </w:footnote>
  <w:footnote w:type="continuationSeparator" w:id="0">
    <w:p w:rsidR="003E7AA0" w:rsidRDefault="003E7A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E7AA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2011-10-21T06:20:00Z</dcterms:created>
  <dcterms:modified xsi:type="dcterms:W3CDTF">2011-10-21T06:21:00Z</dcterms:modified>
</cp:coreProperties>
</file>