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66270">
              <w:rPr>
                <w:rFonts w:ascii="Tahoma" w:hAnsi="Tahoma" w:cs="Tahoma"/>
                <w:b/>
                <w:sz w:val="28"/>
                <w:szCs w:val="28"/>
              </w:rPr>
              <w:t xml:space="preserve">R.C.G.01477_2011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66270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66270">
              <w:rPr>
                <w:rFonts w:ascii="Tahoma" w:hAnsi="Tahoma" w:cs="Tahoma"/>
              </w:rPr>
              <w:t xml:space="preserve">Det.Sett.III RCS 00370/2011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66270">
              <w:rPr>
                <w:rFonts w:ascii="Tahoma" w:hAnsi="Tahoma" w:cs="Tahoma"/>
              </w:rPr>
              <w:t xml:space="preserve">13/10/2011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6627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6627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66270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6627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66270">
        <w:rPr>
          <w:rFonts w:ascii="Tahoma" w:hAnsi="Tahoma" w:cs="Tahoma"/>
          <w:b/>
        </w:rPr>
        <w:t xml:space="preserve">Lavori di manutenzione straordinaria alle strade interne e completamento della fogna bianca. Spostamento infrastrutture ENEL – Integrazione preventivo in ottemperanza al D.L. 138/2011 convertito in L. 148 del 14/09/2011.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66270" w:rsidRDefault="00766270" w:rsidP="00766270">
      <w:pPr>
        <w:rPr>
          <w:rFonts w:ascii="Tahoma" w:hAnsi="Tahoma" w:cs="Tahoma"/>
        </w:rPr>
      </w:pPr>
    </w:p>
    <w:p w:rsidR="00766270" w:rsidRPr="00766270" w:rsidRDefault="00766270" w:rsidP="0076627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270" w:rsidRDefault="00766270">
      <w:r>
        <w:separator/>
      </w:r>
    </w:p>
  </w:endnote>
  <w:endnote w:type="continuationSeparator" w:id="0">
    <w:p w:rsidR="00766270" w:rsidRDefault="007662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270" w:rsidRDefault="00766270">
      <w:r>
        <w:separator/>
      </w:r>
    </w:p>
  </w:footnote>
  <w:footnote w:type="continuationSeparator" w:id="0">
    <w:p w:rsidR="00766270" w:rsidRDefault="007662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66270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2011-10-21T07:15:00Z</dcterms:created>
  <dcterms:modified xsi:type="dcterms:W3CDTF">2011-10-21T07:15:00Z</dcterms:modified>
</cp:coreProperties>
</file>