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21A3B">
              <w:rPr>
                <w:rFonts w:ascii="Tahoma" w:hAnsi="Tahoma" w:cs="Tahoma"/>
                <w:b/>
                <w:sz w:val="28"/>
                <w:szCs w:val="28"/>
              </w:rPr>
              <w:t xml:space="preserve">R.C.G.01479_2011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21A3B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21A3B">
              <w:rPr>
                <w:rFonts w:ascii="Tahoma" w:hAnsi="Tahoma" w:cs="Tahoma"/>
              </w:rPr>
              <w:t xml:space="preserve">Det.Sett.III RCS 00322/2011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21A3B">
              <w:rPr>
                <w:rFonts w:ascii="Tahoma" w:hAnsi="Tahoma" w:cs="Tahoma"/>
              </w:rPr>
              <w:t xml:space="preserve">08/09/2011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21A3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21A3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21A3B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21A3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21A3B">
        <w:rPr>
          <w:rFonts w:ascii="Tahoma" w:hAnsi="Tahoma" w:cs="Tahoma"/>
          <w:b/>
        </w:rPr>
        <w:t xml:space="preserve">Restauro parti danneggiate del portone del Palazzo S.Giuseppe già dei Palmieri, in Vico Acquaviva di Monopoli, sede di Uffici Comunali – Cottimo fiduciario e affidamento diretto ex art. 125 D.Lgs. n.163/2006, comma 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A3B" w:rsidRDefault="00B21A3B">
      <w:r>
        <w:separator/>
      </w:r>
    </w:p>
  </w:endnote>
  <w:endnote w:type="continuationSeparator" w:id="0">
    <w:p w:rsidR="00B21A3B" w:rsidRDefault="00B21A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A3B" w:rsidRDefault="00B21A3B">
      <w:r>
        <w:separator/>
      </w:r>
    </w:p>
  </w:footnote>
  <w:footnote w:type="continuationSeparator" w:id="0">
    <w:p w:rsidR="00B21A3B" w:rsidRDefault="00B21A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21A3B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2011-10-21T08:12:00Z</dcterms:created>
  <dcterms:modified xsi:type="dcterms:W3CDTF">2011-10-21T08:12:00Z</dcterms:modified>
</cp:coreProperties>
</file>