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369B4">
              <w:rPr>
                <w:rFonts w:ascii="Tahoma" w:hAnsi="Tahoma" w:cs="Tahoma"/>
                <w:b/>
                <w:sz w:val="28"/>
                <w:szCs w:val="28"/>
              </w:rPr>
              <w:t xml:space="preserve">R.C.G.01483_2011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369B4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369B4">
              <w:rPr>
                <w:rFonts w:ascii="Tahoma" w:hAnsi="Tahoma" w:cs="Tahoma"/>
              </w:rPr>
              <w:t xml:space="preserve">Det.Sett.V RCS 00277/2011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369B4">
              <w:rPr>
                <w:rFonts w:ascii="Tahoma" w:hAnsi="Tahoma" w:cs="Tahoma"/>
              </w:rPr>
              <w:t xml:space="preserve">17/10/2011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369B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369B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369B4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369B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369B4">
        <w:rPr>
          <w:rFonts w:ascii="Tahoma" w:hAnsi="Tahoma" w:cs="Tahoma"/>
          <w:b/>
        </w:rPr>
        <w:t xml:space="preserve">Rif. determinazione dirigenziale n. 1395 del 03/10/2011. Fornitura di un timbro perforatore necessario al servizio di refezione scolastica. Integrazione . CIG: Z1E01733EC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369B4" w:rsidRDefault="005369B4" w:rsidP="005369B4">
      <w:pPr>
        <w:rPr>
          <w:rFonts w:ascii="Tahoma" w:hAnsi="Tahoma" w:cs="Tahoma"/>
        </w:rPr>
      </w:pPr>
    </w:p>
    <w:p w:rsidR="005369B4" w:rsidRPr="005369B4" w:rsidRDefault="005369B4" w:rsidP="005369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9B4" w:rsidRDefault="005369B4">
      <w:r>
        <w:separator/>
      </w:r>
    </w:p>
  </w:endnote>
  <w:endnote w:type="continuationSeparator" w:id="1">
    <w:p w:rsidR="005369B4" w:rsidRDefault="005369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9B4" w:rsidRDefault="005369B4">
      <w:r>
        <w:separator/>
      </w:r>
    </w:p>
  </w:footnote>
  <w:footnote w:type="continuationSeparator" w:id="1">
    <w:p w:rsidR="005369B4" w:rsidRDefault="005369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369B4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2011-10-21T09:30:00Z</dcterms:created>
  <dcterms:modified xsi:type="dcterms:W3CDTF">2011-10-21T09:30:00Z</dcterms:modified>
</cp:coreProperties>
</file>