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4FE2">
              <w:rPr>
                <w:rFonts w:ascii="Tahoma" w:hAnsi="Tahoma" w:cs="Tahoma"/>
                <w:b/>
                <w:sz w:val="28"/>
                <w:szCs w:val="28"/>
              </w:rPr>
              <w:t xml:space="preserve">R.C.G.01493_2011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4FE2">
              <w:rPr>
                <w:rFonts w:ascii="Tahoma" w:hAnsi="Tahoma" w:cs="Tahoma"/>
                <w:b/>
                <w:sz w:val="28"/>
                <w:szCs w:val="28"/>
              </w:rPr>
              <w:t xml:space="preserve">25/10/2011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4FE2">
              <w:rPr>
                <w:rFonts w:ascii="Tahoma" w:hAnsi="Tahoma" w:cs="Tahoma"/>
              </w:rPr>
              <w:t xml:space="preserve">Det.Sett.I RCS 00316/2011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4FE2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4FE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4FE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4FE2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4F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4FE2">
        <w:rPr>
          <w:rFonts w:ascii="Tahoma" w:hAnsi="Tahoma" w:cs="Tahoma"/>
          <w:b/>
        </w:rPr>
        <w:t xml:space="preserve">SENTENZA GIUDICE DI PACE MONOPOLI N. 233/2011. PRESA D'ATTO PARERE SFAVOREVOLE PROPOSIZIONE APPELLO.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F4FE2" w:rsidRDefault="00EF4FE2" w:rsidP="00EF4FE2">
      <w:pPr>
        <w:rPr>
          <w:rFonts w:ascii="Tahoma" w:hAnsi="Tahoma" w:cs="Tahoma"/>
        </w:rPr>
      </w:pPr>
    </w:p>
    <w:p w:rsidR="00EF4FE2" w:rsidRPr="00EF4FE2" w:rsidRDefault="00EF4FE2" w:rsidP="00EF4FE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F4FE2" w:rsidRPr="00EF4FE2" w:rsidRDefault="00EF4FE2" w:rsidP="00EF4FE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FE2" w:rsidRDefault="00EF4FE2">
      <w:r>
        <w:separator/>
      </w:r>
    </w:p>
  </w:endnote>
  <w:endnote w:type="continuationSeparator" w:id="1">
    <w:p w:rsidR="00EF4FE2" w:rsidRDefault="00EF4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FE2" w:rsidRDefault="00EF4FE2">
      <w:r>
        <w:separator/>
      </w:r>
    </w:p>
  </w:footnote>
  <w:footnote w:type="continuationSeparator" w:id="1">
    <w:p w:rsidR="00EF4FE2" w:rsidRDefault="00EF4F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4FE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2011-10-26T07:17:00Z</dcterms:created>
  <dcterms:modified xsi:type="dcterms:W3CDTF">2011-10-26T07:17:00Z</dcterms:modified>
</cp:coreProperties>
</file>