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3C96">
              <w:rPr>
                <w:rFonts w:ascii="Tahoma" w:hAnsi="Tahoma" w:cs="Tahoma"/>
                <w:b/>
                <w:sz w:val="28"/>
                <w:szCs w:val="28"/>
              </w:rPr>
              <w:t xml:space="preserve">R.C.G.01567_2011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3C96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3C96">
              <w:rPr>
                <w:rFonts w:ascii="Tahoma" w:hAnsi="Tahoma" w:cs="Tahoma"/>
              </w:rPr>
              <w:t xml:space="preserve">Det.Sett.VI RCS 00126/2011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3C96">
              <w:rPr>
                <w:rFonts w:ascii="Tahoma" w:hAnsi="Tahoma" w:cs="Tahoma"/>
              </w:rPr>
              <w:t xml:space="preserve">28/10/2011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3C9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3C9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3C96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3C9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3C96">
        <w:rPr>
          <w:rFonts w:ascii="Tahoma" w:hAnsi="Tahoma" w:cs="Tahoma"/>
          <w:b/>
        </w:rPr>
        <w:t xml:space="preserve">SPESE PROCESSUALI A FAVORE DEGLI AVVOCATI GIOVANNI E NICOLA PAPA - SENTENZA N.394/2011 DEL GIUDICE DI PACE AVV. VALTER VAVALLE.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C96" w:rsidRDefault="00EC3C96">
      <w:r>
        <w:separator/>
      </w:r>
    </w:p>
  </w:endnote>
  <w:endnote w:type="continuationSeparator" w:id="0">
    <w:p w:rsidR="00EC3C96" w:rsidRDefault="00EC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C96" w:rsidRDefault="00EC3C96">
      <w:r>
        <w:separator/>
      </w:r>
    </w:p>
  </w:footnote>
  <w:footnote w:type="continuationSeparator" w:id="0">
    <w:p w:rsidR="00EC3C96" w:rsidRDefault="00EC3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3C96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2011-11-10T07:32:00Z</dcterms:created>
  <dcterms:modified xsi:type="dcterms:W3CDTF">2011-11-10T07:32:00Z</dcterms:modified>
</cp:coreProperties>
</file>