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10C6">
              <w:rPr>
                <w:rFonts w:ascii="Tahoma" w:hAnsi="Tahoma" w:cs="Tahoma"/>
                <w:b/>
                <w:sz w:val="28"/>
                <w:szCs w:val="28"/>
              </w:rPr>
              <w:t xml:space="preserve">R.C.G.01718_2011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10C6">
              <w:rPr>
                <w:rFonts w:ascii="Tahoma" w:hAnsi="Tahoma" w:cs="Tahoma"/>
                <w:b/>
                <w:sz w:val="28"/>
                <w:szCs w:val="28"/>
              </w:rPr>
              <w:t xml:space="preserve">19/12/2011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10C6">
              <w:rPr>
                <w:rFonts w:ascii="Tahoma" w:hAnsi="Tahoma" w:cs="Tahoma"/>
              </w:rPr>
              <w:t xml:space="preserve">Det.Sett.III RCS 00372/2011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10C6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10C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10C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10C6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10C6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10C6">
        <w:rPr>
          <w:rFonts w:ascii="Tahoma" w:hAnsi="Tahoma" w:cs="Tahoma"/>
          <w:b/>
        </w:rPr>
        <w:t xml:space="preserve">Lavori di manutenzione straordinaria di pubblica illuminazione presso il Monumento dei Caduti di Guerra sito in Piazza V.Emanuele – Cottimo fiduciario e affidamento diretto ex art. 125 D.Lgs. n.163/2006.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C10C6" w:rsidRDefault="007C10C6" w:rsidP="007C10C6">
      <w:pPr>
        <w:rPr>
          <w:rFonts w:ascii="Tahoma" w:hAnsi="Tahoma" w:cs="Tahoma"/>
        </w:rPr>
      </w:pPr>
    </w:p>
    <w:p w:rsidR="007C10C6" w:rsidRPr="007C10C6" w:rsidRDefault="007C10C6" w:rsidP="007C10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0C6" w:rsidRDefault="007C10C6">
      <w:r>
        <w:separator/>
      </w:r>
    </w:p>
  </w:endnote>
  <w:endnote w:type="continuationSeparator" w:id="0">
    <w:p w:rsidR="007C10C6" w:rsidRDefault="007C10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0C6" w:rsidRDefault="007C10C6">
      <w:r>
        <w:separator/>
      </w:r>
    </w:p>
  </w:footnote>
  <w:footnote w:type="continuationSeparator" w:id="0">
    <w:p w:rsidR="007C10C6" w:rsidRDefault="007C10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10C6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2011-12-19T08:47:00Z</dcterms:created>
  <dcterms:modified xsi:type="dcterms:W3CDTF">2011-12-19T08:47:00Z</dcterms:modified>
</cp:coreProperties>
</file>