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00B7">
              <w:rPr>
                <w:rFonts w:ascii="Tahoma" w:hAnsi="Tahoma" w:cs="Tahoma"/>
                <w:b/>
                <w:sz w:val="28"/>
                <w:szCs w:val="28"/>
              </w:rPr>
              <w:t xml:space="preserve">R.C.G.01753_2011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00B7">
              <w:rPr>
                <w:rFonts w:ascii="Tahoma" w:hAnsi="Tahoma" w:cs="Tahoma"/>
                <w:b/>
                <w:sz w:val="28"/>
                <w:szCs w:val="28"/>
              </w:rPr>
              <w:t xml:space="preserve">23/12/2011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00B7">
              <w:rPr>
                <w:rFonts w:ascii="Tahoma" w:hAnsi="Tahoma" w:cs="Tahoma"/>
              </w:rPr>
              <w:t xml:space="preserve">Det.Sett.I-Integr RCS 00055/2011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00B7">
              <w:rPr>
                <w:rFonts w:ascii="Tahoma" w:hAnsi="Tahoma" w:cs="Tahoma"/>
              </w:rPr>
              <w:t xml:space="preserve">20/12/2011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00B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00B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00B7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00B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00B7">
        <w:rPr>
          <w:rFonts w:ascii="Tahoma" w:hAnsi="Tahoma" w:cs="Tahoma"/>
          <w:b/>
        </w:rPr>
        <w:t xml:space="preserve">PROCEDURA APERTA PER L'ACQUISIZIONE DEL SERVIZIO TRIENNALE DI ISTRUTTORIA DELLE RICHIESTE DI RISARCIMENTO DANNI RIVENIENTI DA DISSESTO DEL MANTO STRADALE. DETERMINAZIONE A CONTRARRE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0B7" w:rsidRDefault="009000B7">
      <w:r>
        <w:separator/>
      </w:r>
    </w:p>
  </w:endnote>
  <w:endnote w:type="continuationSeparator" w:id="1">
    <w:p w:rsidR="009000B7" w:rsidRDefault="00900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0B7" w:rsidRDefault="009000B7">
      <w:r>
        <w:separator/>
      </w:r>
    </w:p>
  </w:footnote>
  <w:footnote w:type="continuationSeparator" w:id="1">
    <w:p w:rsidR="009000B7" w:rsidRDefault="00900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00B7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2011-12-28T07:45:00Z</dcterms:created>
  <dcterms:modified xsi:type="dcterms:W3CDTF">2011-12-28T07:45:00Z</dcterms:modified>
</cp:coreProperties>
</file>