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43F" w:rsidRPr="00C847FC" w:rsidRDefault="00821593" w:rsidP="00C84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Bookman Old Style" w:hAnsi="Bookman Old Style" w:cs="Times New Roman"/>
          <w:b/>
          <w:bCs/>
          <w:sz w:val="22"/>
          <w:szCs w:val="22"/>
        </w:rPr>
      </w:pPr>
      <w:r w:rsidRPr="00C847FC">
        <w:rPr>
          <w:rFonts w:ascii="Bookman Old Style" w:hAnsi="Bookman Old Style" w:cs="Times New Roman"/>
          <w:b/>
          <w:bCs/>
          <w:sz w:val="22"/>
          <w:szCs w:val="22"/>
        </w:rPr>
        <w:t>ADEMPIMENTI EX ART. 183 D. LGS. 267_2000 (2011).</w:t>
      </w:r>
    </w:p>
    <w:p w:rsidR="00C847FC" w:rsidRDefault="00C847FC" w:rsidP="00C847FC">
      <w:pPr>
        <w:spacing w:after="0"/>
        <w:jc w:val="both"/>
        <w:rPr>
          <w:rFonts w:ascii="Bookman Old Style" w:hAnsi="Bookman Old Style"/>
          <w:b/>
          <w:sz w:val="22"/>
          <w:szCs w:val="22"/>
        </w:rPr>
      </w:pPr>
      <w:bookmarkStart w:id="0" w:name="_Toc154482410"/>
      <w:bookmarkStart w:id="1" w:name="_Toc164141306"/>
      <w:bookmarkStart w:id="2" w:name="_Toc164141386"/>
      <w:bookmarkStart w:id="3" w:name="_Toc164141540"/>
      <w:bookmarkStart w:id="4" w:name="_Toc164147022"/>
      <w:bookmarkStart w:id="5" w:name="_Toc191779069"/>
      <w:bookmarkStart w:id="6" w:name="_Toc289341808"/>
    </w:p>
    <w:p w:rsidR="00816B44" w:rsidRDefault="00816B44" w:rsidP="00C847FC">
      <w:pPr>
        <w:spacing w:after="0"/>
        <w:jc w:val="both"/>
        <w:rPr>
          <w:rFonts w:ascii="Bookman Old Style" w:hAnsi="Bookman Old Style"/>
          <w:sz w:val="22"/>
          <w:szCs w:val="22"/>
        </w:rPr>
      </w:pPr>
      <w:r w:rsidRPr="00C847FC">
        <w:rPr>
          <w:rFonts w:ascii="Bookman Old Style" w:hAnsi="Bookman Old Style"/>
          <w:b/>
          <w:sz w:val="22"/>
          <w:szCs w:val="22"/>
        </w:rPr>
        <w:t>PREMESSO</w:t>
      </w:r>
      <w:r w:rsidRPr="00C847FC">
        <w:rPr>
          <w:rFonts w:ascii="Bookman Old Style" w:hAnsi="Bookman Old Style"/>
          <w:sz w:val="22"/>
          <w:szCs w:val="22"/>
        </w:rPr>
        <w:t xml:space="preserve"> che diverse sono le società operanti sul mercato specializzate nell’organizzare Seminari</w:t>
      </w:r>
      <w:r w:rsidR="00ED0C5E" w:rsidRPr="00C847FC">
        <w:rPr>
          <w:rFonts w:ascii="Bookman Old Style" w:hAnsi="Bookman Old Style"/>
          <w:sz w:val="22"/>
          <w:szCs w:val="22"/>
        </w:rPr>
        <w:t>,</w:t>
      </w:r>
      <w:r w:rsidRPr="00C847FC">
        <w:rPr>
          <w:rFonts w:ascii="Bookman Old Style" w:hAnsi="Bookman Old Style"/>
          <w:sz w:val="22"/>
          <w:szCs w:val="22"/>
        </w:rPr>
        <w:t xml:space="preserve"> e</w:t>
      </w:r>
      <w:r w:rsidR="00ED0C5E" w:rsidRPr="00C847FC">
        <w:rPr>
          <w:rFonts w:ascii="Bookman Old Style" w:hAnsi="Bookman Old Style"/>
          <w:sz w:val="22"/>
          <w:szCs w:val="22"/>
        </w:rPr>
        <w:t>d</w:t>
      </w:r>
      <w:r w:rsidRPr="00C847FC">
        <w:rPr>
          <w:rFonts w:ascii="Bookman Old Style" w:hAnsi="Bookman Old Style"/>
          <w:sz w:val="22"/>
          <w:szCs w:val="22"/>
        </w:rPr>
        <w:t xml:space="preserve"> incontri su argomenti di interesse per l’aggiornamento professionale</w:t>
      </w:r>
      <w:r w:rsidR="00ED0C5E" w:rsidRPr="00C847FC">
        <w:rPr>
          <w:rFonts w:ascii="Bookman Old Style" w:hAnsi="Bookman Old Style"/>
          <w:sz w:val="22"/>
          <w:szCs w:val="22"/>
        </w:rPr>
        <w:t>,</w:t>
      </w:r>
      <w:r w:rsidRPr="00C847FC">
        <w:rPr>
          <w:rFonts w:ascii="Bookman Old Style" w:hAnsi="Bookman Old Style"/>
          <w:sz w:val="22"/>
          <w:szCs w:val="22"/>
        </w:rPr>
        <w:t xml:space="preserve"> dei dipendenti operanti nell’Area Organizzativa II (Servizio fiscalità locale, Ragioneria e Patrimonio);</w:t>
      </w:r>
    </w:p>
    <w:p w:rsidR="00C847FC" w:rsidRPr="00C847FC" w:rsidRDefault="00C847FC" w:rsidP="00C847FC">
      <w:pPr>
        <w:spacing w:after="0"/>
        <w:jc w:val="both"/>
        <w:rPr>
          <w:rFonts w:ascii="Bookman Old Style" w:hAnsi="Bookman Old Style"/>
          <w:b/>
          <w:sz w:val="22"/>
          <w:szCs w:val="22"/>
        </w:rPr>
      </w:pPr>
    </w:p>
    <w:p w:rsidR="00816B44" w:rsidRPr="00C847FC" w:rsidRDefault="00816B44" w:rsidP="00C847FC">
      <w:pPr>
        <w:spacing w:after="0"/>
        <w:jc w:val="both"/>
        <w:rPr>
          <w:rFonts w:ascii="Bookman Old Style" w:hAnsi="Bookman Old Style"/>
          <w:sz w:val="22"/>
          <w:szCs w:val="22"/>
        </w:rPr>
      </w:pPr>
      <w:r w:rsidRPr="00C847FC">
        <w:rPr>
          <w:rFonts w:ascii="Bookman Old Style" w:hAnsi="Bookman Old Style"/>
          <w:b/>
          <w:sz w:val="22"/>
          <w:szCs w:val="22"/>
        </w:rPr>
        <w:t xml:space="preserve">CONSIDERATO </w:t>
      </w:r>
      <w:r w:rsidRPr="00C847FC">
        <w:rPr>
          <w:rFonts w:ascii="Bookman Old Style" w:hAnsi="Bookman Old Style"/>
          <w:sz w:val="22"/>
          <w:szCs w:val="22"/>
        </w:rPr>
        <w:t>che la partecipazione a tali incontri risponde ad un interesse attuale e concreto dell’Amministrazione comunale per poter adempiere sempre al meglio le proprie funzioni;</w:t>
      </w:r>
    </w:p>
    <w:bookmarkEnd w:id="0"/>
    <w:bookmarkEnd w:id="1"/>
    <w:bookmarkEnd w:id="2"/>
    <w:bookmarkEnd w:id="3"/>
    <w:bookmarkEnd w:id="4"/>
    <w:bookmarkEnd w:id="5"/>
    <w:bookmarkEnd w:id="6"/>
    <w:p w:rsidR="00016E88" w:rsidRPr="00C847FC" w:rsidRDefault="00016E88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b/>
          <w:smallCaps/>
          <w:sz w:val="22"/>
          <w:szCs w:val="22"/>
          <w:lang w:eastAsia="it-IT"/>
        </w:rPr>
        <w:t>visto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 xml:space="preserve"> l’articolo 183 del D. Lgs. 267/00 si richiede l’impegno delle somme necessarie alle attività sopra evidenziate;</w:t>
      </w:r>
    </w:p>
    <w:p w:rsidR="00C847FC" w:rsidRDefault="00C847FC" w:rsidP="00C847FC">
      <w:pPr>
        <w:spacing w:after="0"/>
        <w:jc w:val="center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</w:p>
    <w:p w:rsidR="003D39D8" w:rsidRDefault="003D39D8" w:rsidP="00C847FC">
      <w:pPr>
        <w:spacing w:after="0"/>
        <w:jc w:val="center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sym w:font="Wingdings" w:char="F076"/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sym w:font="Wingdings" w:char="F076"/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sym w:font="Wingdings" w:char="F076"/>
      </w:r>
    </w:p>
    <w:p w:rsidR="00C847FC" w:rsidRPr="00C847FC" w:rsidRDefault="00C847FC" w:rsidP="00C847FC">
      <w:pPr>
        <w:spacing w:after="0"/>
        <w:jc w:val="center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</w:p>
    <w:p w:rsidR="00D25596" w:rsidRDefault="00D25596" w:rsidP="00C847FC">
      <w:pPr>
        <w:spacing w:after="0"/>
        <w:jc w:val="both"/>
        <w:rPr>
          <w:rFonts w:ascii="Bookman Old Style" w:hAnsi="Bookman Old Style"/>
          <w:sz w:val="22"/>
          <w:szCs w:val="22"/>
        </w:rPr>
      </w:pPr>
      <w:r w:rsidRPr="00C847FC">
        <w:rPr>
          <w:rFonts w:ascii="Bookman Old Style" w:hAnsi="Bookman Old Style"/>
          <w:b/>
          <w:smallCaps/>
          <w:sz w:val="22"/>
          <w:szCs w:val="22"/>
        </w:rPr>
        <w:t>PREMESSO</w:t>
      </w:r>
      <w:r w:rsidRPr="00C847FC">
        <w:rPr>
          <w:rFonts w:ascii="Bookman Old Style" w:hAnsi="Bookman Old Style"/>
          <w:sz w:val="22"/>
          <w:szCs w:val="22"/>
        </w:rPr>
        <w:t xml:space="preserve"> </w:t>
      </w:r>
      <w:r w:rsidR="00821593" w:rsidRPr="00C847FC">
        <w:rPr>
          <w:rFonts w:ascii="Bookman Old Style" w:hAnsi="Bookman Old Style"/>
          <w:sz w:val="22"/>
          <w:szCs w:val="22"/>
        </w:rPr>
        <w:t>che l</w:t>
      </w:r>
      <w:r w:rsidRPr="00C847FC">
        <w:rPr>
          <w:rFonts w:ascii="Bookman Old Style" w:hAnsi="Bookman Old Style"/>
          <w:sz w:val="22"/>
          <w:szCs w:val="22"/>
        </w:rPr>
        <w:t xml:space="preserve">’ordinamento finanziario e contabile degli enti locali trova il suo fondamento nel testo unico delle leggi sull’ordinamento degli enti locali, </w:t>
      </w:r>
      <w:r w:rsidR="00821593" w:rsidRPr="00C847FC">
        <w:rPr>
          <w:rFonts w:ascii="Bookman Old Style" w:hAnsi="Bookman Old Style"/>
          <w:sz w:val="22"/>
          <w:szCs w:val="22"/>
        </w:rPr>
        <w:t xml:space="preserve">Legge </w:t>
      </w:r>
      <w:r w:rsidRPr="00C847FC">
        <w:rPr>
          <w:rFonts w:ascii="Bookman Old Style" w:hAnsi="Bookman Old Style"/>
          <w:sz w:val="22"/>
          <w:szCs w:val="22"/>
        </w:rPr>
        <w:t>n.267</w:t>
      </w:r>
      <w:r w:rsidR="00821593" w:rsidRPr="00C847FC">
        <w:rPr>
          <w:rFonts w:ascii="Bookman Old Style" w:hAnsi="Bookman Old Style"/>
          <w:sz w:val="22"/>
          <w:szCs w:val="22"/>
        </w:rPr>
        <w:t>/2000</w:t>
      </w:r>
      <w:r w:rsidRPr="00C847FC">
        <w:rPr>
          <w:rFonts w:ascii="Bookman Old Style" w:hAnsi="Bookman Old Style"/>
          <w:sz w:val="22"/>
          <w:szCs w:val="22"/>
        </w:rPr>
        <w:t xml:space="preserve"> e nei relativi regolamenti attuativi, oltre che nella legge 18 ottobre 2001, n.3, nella legge 5 giugno 2003, n.131 e ne</w:t>
      </w:r>
      <w:r w:rsidR="00C847FC">
        <w:rPr>
          <w:rFonts w:ascii="Bookman Old Style" w:hAnsi="Bookman Old Style"/>
          <w:sz w:val="22"/>
          <w:szCs w:val="22"/>
        </w:rPr>
        <w:t>l D. Lgs. 12 aprile 2006, n.17;</w:t>
      </w:r>
    </w:p>
    <w:p w:rsidR="00C847FC" w:rsidRPr="00C847FC" w:rsidRDefault="00C847FC" w:rsidP="00C847FC">
      <w:pPr>
        <w:spacing w:after="0"/>
        <w:jc w:val="both"/>
        <w:rPr>
          <w:rFonts w:ascii="Bookman Old Style" w:hAnsi="Bookman Old Style"/>
          <w:sz w:val="22"/>
          <w:szCs w:val="22"/>
        </w:rPr>
      </w:pPr>
    </w:p>
    <w:p w:rsidR="00821593" w:rsidRDefault="00821593" w:rsidP="00C847FC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Times New Roman"/>
          <w:color w:val="000000"/>
          <w:sz w:val="22"/>
          <w:szCs w:val="22"/>
        </w:rPr>
      </w:pPr>
      <w:r w:rsidRPr="00C847FC">
        <w:rPr>
          <w:rFonts w:ascii="Bookman Old Style" w:hAnsi="Bookman Old Style" w:cs="Times New Roman"/>
          <w:b/>
          <w:color w:val="000000"/>
          <w:sz w:val="22"/>
          <w:szCs w:val="22"/>
        </w:rPr>
        <w:t>CHE</w:t>
      </w:r>
      <w:r w:rsidRPr="00C847FC">
        <w:rPr>
          <w:rFonts w:ascii="Bookman Old Style" w:hAnsi="Bookman Old Style" w:cs="Times New Roman"/>
          <w:color w:val="000000"/>
          <w:sz w:val="22"/>
          <w:szCs w:val="22"/>
        </w:rPr>
        <w:t xml:space="preserve"> i</w:t>
      </w:r>
      <w:r w:rsidRPr="00821593">
        <w:rPr>
          <w:rFonts w:ascii="Bookman Old Style" w:hAnsi="Bookman Old Style" w:cs="Times New Roman"/>
          <w:color w:val="000000"/>
          <w:sz w:val="22"/>
          <w:szCs w:val="22"/>
        </w:rPr>
        <w:t xml:space="preserve"> principi o postulati, di cui all’art.162, c.1, del TUEL, hanno valenza generale e riguardano quindi tutto il sistema di bilancio</w:t>
      </w:r>
      <w:r w:rsidRPr="00C847FC">
        <w:rPr>
          <w:rFonts w:ascii="Bookman Old Style" w:hAnsi="Bookman Old Style" w:cs="Times New Roman"/>
          <w:color w:val="000000"/>
          <w:sz w:val="22"/>
          <w:szCs w:val="22"/>
        </w:rPr>
        <w:t>. Tra</w:t>
      </w:r>
      <w:r w:rsidRPr="00821593">
        <w:rPr>
          <w:rFonts w:ascii="Bookman Old Style" w:hAnsi="Bookman Old Style" w:cs="Times New Roman"/>
          <w:color w:val="000000"/>
          <w:sz w:val="22"/>
          <w:szCs w:val="22"/>
        </w:rPr>
        <w:t xml:space="preserve"> </w:t>
      </w:r>
      <w:r w:rsidRPr="00C847FC">
        <w:rPr>
          <w:rFonts w:ascii="Bookman Old Style" w:hAnsi="Bookman Old Style" w:cs="Times New Roman"/>
          <w:color w:val="000000"/>
          <w:sz w:val="22"/>
          <w:szCs w:val="22"/>
        </w:rPr>
        <w:t>i</w:t>
      </w:r>
      <w:r w:rsidRPr="00821593">
        <w:rPr>
          <w:rFonts w:ascii="Bookman Old Style" w:hAnsi="Bookman Old Style" w:cs="Times New Roman"/>
          <w:color w:val="000000"/>
          <w:sz w:val="22"/>
          <w:szCs w:val="22"/>
        </w:rPr>
        <w:t xml:space="preserve"> postulati individuati dalla norma </w:t>
      </w:r>
      <w:r w:rsidRPr="00C847FC">
        <w:rPr>
          <w:rFonts w:ascii="Bookman Old Style" w:hAnsi="Bookman Old Style" w:cs="Times New Roman"/>
          <w:color w:val="000000"/>
          <w:sz w:val="22"/>
          <w:szCs w:val="22"/>
        </w:rPr>
        <w:t>ricordiamo i</w:t>
      </w:r>
      <w:r w:rsidRPr="00821593">
        <w:rPr>
          <w:rFonts w:ascii="Bookman Old Style" w:hAnsi="Bookman Old Style" w:cs="Times New Roman"/>
          <w:color w:val="000000"/>
          <w:sz w:val="22"/>
          <w:szCs w:val="22"/>
        </w:rPr>
        <w:t xml:space="preserve"> seguenti: - Unità; - Annualità;  Universalità;  </w:t>
      </w:r>
      <w:r w:rsidRPr="00821593">
        <w:rPr>
          <w:rFonts w:ascii="Bookman Old Style" w:hAnsi="Bookman Old Style" w:cs="Times New Roman"/>
          <w:b/>
          <w:color w:val="000000"/>
          <w:sz w:val="22"/>
          <w:szCs w:val="22"/>
        </w:rPr>
        <w:t>Integrità</w:t>
      </w:r>
      <w:r w:rsidRPr="00821593">
        <w:rPr>
          <w:rFonts w:ascii="Bookman Old Style" w:hAnsi="Bookman Old Style" w:cs="Times New Roman"/>
          <w:color w:val="000000"/>
          <w:sz w:val="22"/>
          <w:szCs w:val="22"/>
        </w:rPr>
        <w:t xml:space="preserve">;  Veridicità;  Pareggio finanziario; </w:t>
      </w:r>
      <w:r w:rsidRPr="00C847FC">
        <w:rPr>
          <w:rFonts w:ascii="Bookman Old Style" w:hAnsi="Bookman Old Style" w:cs="Times New Roman"/>
          <w:color w:val="000000"/>
          <w:sz w:val="22"/>
          <w:szCs w:val="22"/>
        </w:rPr>
        <w:t xml:space="preserve"> Pubblicità;</w:t>
      </w:r>
    </w:p>
    <w:p w:rsidR="00C847FC" w:rsidRPr="00C847FC" w:rsidRDefault="00C847FC" w:rsidP="00C847FC">
      <w:pPr>
        <w:autoSpaceDE w:val="0"/>
        <w:autoSpaceDN w:val="0"/>
        <w:adjustRightInd w:val="0"/>
        <w:spacing w:after="0"/>
        <w:jc w:val="both"/>
        <w:rPr>
          <w:rFonts w:ascii="Bookman Old Style" w:hAnsi="Bookman Old Style" w:cs="Times New Roman"/>
          <w:color w:val="000000"/>
          <w:sz w:val="22"/>
          <w:szCs w:val="22"/>
        </w:rPr>
      </w:pPr>
    </w:p>
    <w:p w:rsidR="00ED0C5E" w:rsidRPr="00C847FC" w:rsidRDefault="00ED0C5E" w:rsidP="00C847FC">
      <w:pPr>
        <w:pStyle w:val="Titolo3"/>
        <w:spacing w:before="0"/>
        <w:jc w:val="both"/>
        <w:rPr>
          <w:rFonts w:ascii="Bookman Old Style" w:hAnsi="Bookman Old Style"/>
          <w:b w:val="0"/>
          <w:color w:val="auto"/>
          <w:sz w:val="22"/>
          <w:szCs w:val="22"/>
        </w:rPr>
      </w:pPr>
      <w:r w:rsidRPr="00C847FC">
        <w:rPr>
          <w:rFonts w:ascii="Bookman Old Style" w:hAnsi="Bookman Old Style"/>
          <w:color w:val="auto"/>
          <w:sz w:val="22"/>
          <w:szCs w:val="22"/>
        </w:rPr>
        <w:t>CHE</w:t>
      </w:r>
      <w:r w:rsidRPr="00C847FC">
        <w:rPr>
          <w:rFonts w:ascii="Bookman Old Style" w:hAnsi="Bookman Old Style"/>
          <w:b w:val="0"/>
          <w:color w:val="auto"/>
          <w:sz w:val="22"/>
          <w:szCs w:val="22"/>
        </w:rPr>
        <w:t xml:space="preserve"> il p</w:t>
      </w:r>
      <w:r w:rsidRPr="00C847FC">
        <w:rPr>
          <w:rFonts w:ascii="Bookman Old Style" w:hAnsi="Bookman Old Style"/>
          <w:b w:val="0"/>
          <w:bCs w:val="0"/>
          <w:color w:val="auto"/>
          <w:sz w:val="22"/>
          <w:szCs w:val="22"/>
        </w:rPr>
        <w:t>rincipio dell’</w:t>
      </w:r>
      <w:r w:rsidRPr="00C847FC">
        <w:rPr>
          <w:rFonts w:ascii="Bookman Old Style" w:hAnsi="Bookman Old Style"/>
          <w:bCs w:val="0"/>
          <w:color w:val="auto"/>
          <w:sz w:val="22"/>
          <w:szCs w:val="22"/>
        </w:rPr>
        <w:t>integrità</w:t>
      </w:r>
      <w:r w:rsidRPr="00C847FC">
        <w:rPr>
          <w:rFonts w:ascii="Bookman Old Style" w:hAnsi="Bookman Old Style"/>
          <w:b w:val="0"/>
          <w:bCs w:val="0"/>
          <w:color w:val="auto"/>
          <w:sz w:val="22"/>
          <w:szCs w:val="22"/>
        </w:rPr>
        <w:t xml:space="preserve"> prevede </w:t>
      </w:r>
      <w:r w:rsidRPr="00C847FC">
        <w:rPr>
          <w:rFonts w:ascii="Bookman Old Style" w:hAnsi="Bookman Old Style"/>
          <w:b w:val="0"/>
          <w:color w:val="auto"/>
          <w:sz w:val="22"/>
          <w:szCs w:val="22"/>
        </w:rPr>
        <w:t>che in bilancio non vi siano compensazioni di partite. È quindi vietato iscrivere le entrate al netto delle spese sostenute per la riscossione e, parimenti, di registrare le spese ridotte delle correlate entrate;</w:t>
      </w:r>
    </w:p>
    <w:p w:rsidR="00016E88" w:rsidRPr="00C847FC" w:rsidRDefault="00016E88" w:rsidP="00C847FC">
      <w:pPr>
        <w:spacing w:after="0"/>
        <w:jc w:val="both"/>
        <w:rPr>
          <w:rFonts w:ascii="Bookman Old Style" w:eastAsia="Times New Roman" w:hAnsi="Bookman Old Style" w:cs="Times New Roman"/>
          <w:b/>
          <w:smallCaps/>
          <w:sz w:val="22"/>
          <w:szCs w:val="22"/>
          <w:lang w:eastAsia="it-IT"/>
        </w:rPr>
      </w:pPr>
    </w:p>
    <w:p w:rsidR="00ED0C5E" w:rsidRDefault="00C847FC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b/>
          <w:sz w:val="22"/>
          <w:szCs w:val="22"/>
          <w:lang w:eastAsia="it-IT"/>
        </w:rPr>
        <w:t>PRESO ATTO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 xml:space="preserve"> </w:t>
      </w:r>
      <w:r w:rsidR="00ED0C5E"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>che sono in corso le attività di regolarizzazione delle spese postale sostenute sui conti correnti postali  di cui è intestatario il Comune di Monopoli;</w:t>
      </w:r>
    </w:p>
    <w:p w:rsidR="00C847FC" w:rsidRPr="00C847FC" w:rsidRDefault="00C847FC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</w:p>
    <w:p w:rsidR="00ED0C5E" w:rsidRPr="00C847FC" w:rsidRDefault="00ED0C5E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b/>
          <w:smallCaps/>
          <w:sz w:val="22"/>
          <w:szCs w:val="22"/>
          <w:lang w:eastAsia="it-IT"/>
        </w:rPr>
        <w:t>visto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 xml:space="preserve"> l’articolo 183 del D. Lgs. 267/00 si richiede l’impegno delle somme necessarie alle attività sopra evidenziate;</w:t>
      </w:r>
    </w:p>
    <w:p w:rsidR="00C847FC" w:rsidRDefault="00C847FC" w:rsidP="00C847FC">
      <w:pPr>
        <w:spacing w:after="0"/>
        <w:jc w:val="center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</w:p>
    <w:p w:rsidR="00847B62" w:rsidRDefault="00847B62" w:rsidP="00C847FC">
      <w:pPr>
        <w:spacing w:after="0"/>
        <w:jc w:val="center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sym w:font="Wingdings" w:char="F076"/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sym w:font="Wingdings" w:char="F076"/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sym w:font="Wingdings" w:char="F076"/>
      </w:r>
    </w:p>
    <w:p w:rsidR="00C847FC" w:rsidRPr="00C847FC" w:rsidRDefault="00C847FC" w:rsidP="00C847FC">
      <w:pPr>
        <w:spacing w:after="0"/>
        <w:jc w:val="center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</w:p>
    <w:p w:rsidR="008F2122" w:rsidRPr="00C847FC" w:rsidRDefault="008F2122" w:rsidP="00C847FC">
      <w:pPr>
        <w:spacing w:after="0"/>
        <w:jc w:val="both"/>
        <w:rPr>
          <w:rFonts w:ascii="Bookman Old Style" w:hAnsi="Bookman Old Style"/>
          <w:sz w:val="22"/>
          <w:szCs w:val="22"/>
        </w:rPr>
      </w:pPr>
      <w:r w:rsidRPr="00C847FC">
        <w:rPr>
          <w:rFonts w:ascii="Bookman Old Style" w:hAnsi="Bookman Old Style"/>
          <w:b/>
          <w:bCs/>
          <w:sz w:val="22"/>
          <w:szCs w:val="22"/>
        </w:rPr>
        <w:t>PREMESSO c</w:t>
      </w:r>
      <w:r w:rsidRPr="00C847FC">
        <w:rPr>
          <w:rFonts w:ascii="Bookman Old Style" w:hAnsi="Bookman Old Style"/>
          <w:sz w:val="22"/>
          <w:szCs w:val="22"/>
        </w:rPr>
        <w:t xml:space="preserve">he con deliberazione n. 17 del 15/2/2010, esecutiva nei modi di Legge, il Consiglio Comunale </w:t>
      </w:r>
      <w:r w:rsidR="00B75A71" w:rsidRPr="00C847FC">
        <w:rPr>
          <w:rFonts w:ascii="Bookman Old Style" w:hAnsi="Bookman Old Style"/>
          <w:sz w:val="22"/>
          <w:szCs w:val="22"/>
        </w:rPr>
        <w:t>ha approvato</w:t>
      </w:r>
      <w:r w:rsidRPr="00C847FC">
        <w:rPr>
          <w:rFonts w:ascii="Bookman Old Style" w:hAnsi="Bookman Old Style"/>
          <w:sz w:val="22"/>
          <w:szCs w:val="22"/>
        </w:rPr>
        <w:t xml:space="preserve"> lo schema di convenzione relativo alla gestione del se</w:t>
      </w:r>
      <w:r w:rsidRPr="00C847FC">
        <w:rPr>
          <w:rFonts w:ascii="Bookman Old Style" w:hAnsi="Bookman Old Style"/>
          <w:sz w:val="22"/>
          <w:szCs w:val="22"/>
        </w:rPr>
        <w:t>r</w:t>
      </w:r>
      <w:r w:rsidRPr="00C847FC">
        <w:rPr>
          <w:rFonts w:ascii="Bookman Old Style" w:hAnsi="Bookman Old Style"/>
          <w:sz w:val="22"/>
          <w:szCs w:val="22"/>
        </w:rPr>
        <w:t>vizio di tesoreria comunale per il periodo dall’1/1/2011 fino al 31/12/2015;</w:t>
      </w:r>
    </w:p>
    <w:p w:rsidR="00DF1972" w:rsidRPr="00C847FC" w:rsidRDefault="00DF1972" w:rsidP="00C847FC">
      <w:pPr>
        <w:spacing w:after="0"/>
        <w:jc w:val="both"/>
        <w:rPr>
          <w:rFonts w:ascii="Bookman Old Style" w:hAnsi="Bookman Old Style"/>
          <w:sz w:val="22"/>
          <w:szCs w:val="22"/>
        </w:rPr>
      </w:pPr>
    </w:p>
    <w:p w:rsidR="00B75A71" w:rsidRPr="00C847FC" w:rsidRDefault="00DF1972" w:rsidP="00C847FC">
      <w:pPr>
        <w:spacing w:after="0"/>
        <w:jc w:val="both"/>
        <w:rPr>
          <w:rFonts w:ascii="Bookman Old Style" w:hAnsi="Bookman Old Style"/>
          <w:sz w:val="22"/>
          <w:szCs w:val="22"/>
        </w:rPr>
      </w:pPr>
      <w:r w:rsidRPr="00C847FC">
        <w:rPr>
          <w:rFonts w:ascii="Bookman Old Style" w:hAnsi="Bookman Old Style"/>
          <w:b/>
          <w:bCs/>
          <w:sz w:val="22"/>
          <w:szCs w:val="22"/>
        </w:rPr>
        <w:t>VISTO</w:t>
      </w:r>
      <w:r w:rsidR="00B75A71" w:rsidRPr="00C847FC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B75A71" w:rsidRPr="00C847FC">
        <w:rPr>
          <w:rFonts w:ascii="Bookman Old Style" w:hAnsi="Bookman Old Style"/>
          <w:sz w:val="22"/>
          <w:szCs w:val="22"/>
        </w:rPr>
        <w:t>che il rapporto contrattuale con la Banca Popolare di Bari Soc. C</w:t>
      </w:r>
      <w:r w:rsidR="00B75A71" w:rsidRPr="00C847FC">
        <w:rPr>
          <w:rFonts w:ascii="Bookman Old Style" w:hAnsi="Bookman Old Style"/>
          <w:sz w:val="22"/>
          <w:szCs w:val="22"/>
        </w:rPr>
        <w:t>o</w:t>
      </w:r>
      <w:r w:rsidR="00B75A71" w:rsidRPr="00C847FC">
        <w:rPr>
          <w:rFonts w:ascii="Bookman Old Style" w:hAnsi="Bookman Old Style"/>
          <w:sz w:val="22"/>
          <w:szCs w:val="22"/>
        </w:rPr>
        <w:t>op. per Azioni, decorrente dall’1/1/2011, è disciplinato dalla relativa convenzione ed integrata con alcune norme di dettaglio con determinazioni dirigenziali n.1498 del 12/8/2010 e n.1552 del 25/8/2010, e dalle condizioni economiche offerte dall’istituto di credito aggiudicatario della gara;</w:t>
      </w:r>
    </w:p>
    <w:p w:rsidR="00F25E7B" w:rsidRPr="00C847FC" w:rsidRDefault="00F25E7B" w:rsidP="00C847FC">
      <w:pPr>
        <w:spacing w:after="0"/>
        <w:jc w:val="both"/>
        <w:rPr>
          <w:rFonts w:ascii="Bookman Old Style" w:hAnsi="Bookman Old Style"/>
          <w:sz w:val="22"/>
          <w:szCs w:val="22"/>
        </w:rPr>
      </w:pPr>
    </w:p>
    <w:p w:rsidR="00F25E7B" w:rsidRPr="00C847FC" w:rsidRDefault="00F25E7B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b/>
          <w:smallCaps/>
          <w:sz w:val="22"/>
          <w:szCs w:val="22"/>
          <w:lang w:eastAsia="it-IT"/>
        </w:rPr>
        <w:t>preso atto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 xml:space="preserve"> che sono in corso le attività di regolarizzazione delle spese per il servizio di tesoreria sostenute nel corso dell’anno 2011;</w:t>
      </w:r>
    </w:p>
    <w:p w:rsidR="00F25E7B" w:rsidRDefault="00F25E7B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b/>
          <w:smallCaps/>
          <w:sz w:val="22"/>
          <w:szCs w:val="22"/>
          <w:lang w:eastAsia="it-IT"/>
        </w:rPr>
        <w:t>visto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 xml:space="preserve"> l’articolo 183 del D. Lgs. 267/00 si richiede l’impegno delle somme necessarie alle attività sopra evidenziate;</w:t>
      </w:r>
    </w:p>
    <w:p w:rsidR="00C847FC" w:rsidRPr="00C847FC" w:rsidRDefault="00C847FC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</w:p>
    <w:p w:rsidR="00811B65" w:rsidRDefault="00811B65" w:rsidP="00C847FC">
      <w:pPr>
        <w:spacing w:after="0"/>
        <w:jc w:val="center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sym w:font="Wingdings" w:char="F076"/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sym w:font="Wingdings" w:char="F076"/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sym w:font="Wingdings" w:char="F076"/>
      </w:r>
    </w:p>
    <w:p w:rsidR="00C847FC" w:rsidRPr="00C847FC" w:rsidRDefault="00C847FC" w:rsidP="00C847FC">
      <w:pPr>
        <w:spacing w:after="0"/>
        <w:jc w:val="center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</w:p>
    <w:p w:rsidR="00A32572" w:rsidRPr="00C847FC" w:rsidRDefault="00A32572" w:rsidP="00C847FC">
      <w:pPr>
        <w:spacing w:after="0"/>
        <w:jc w:val="both"/>
        <w:rPr>
          <w:rFonts w:ascii="Bookman Old Style" w:hAnsi="Bookman Old Style"/>
          <w:sz w:val="22"/>
          <w:szCs w:val="22"/>
        </w:rPr>
      </w:pPr>
      <w:r w:rsidRPr="00C847FC">
        <w:rPr>
          <w:rFonts w:ascii="Bookman Old Style" w:hAnsi="Bookman Old Style"/>
          <w:b/>
          <w:sz w:val="22"/>
          <w:szCs w:val="22"/>
        </w:rPr>
        <w:t>PREMESSO</w:t>
      </w:r>
      <w:r w:rsidRPr="00C847FC">
        <w:rPr>
          <w:rFonts w:ascii="Bookman Old Style" w:hAnsi="Bookman Old Style"/>
          <w:sz w:val="22"/>
          <w:szCs w:val="22"/>
        </w:rPr>
        <w:t xml:space="preserve"> che il Comune di Monopoli non ha avuto la possibilità di procedere al pagamento delle fatture per le quali risulta </w:t>
      </w:r>
      <w:r w:rsidR="00C847FC" w:rsidRPr="00C847FC">
        <w:rPr>
          <w:rFonts w:ascii="Bookman Old Style" w:hAnsi="Bookman Old Style"/>
          <w:sz w:val="22"/>
          <w:szCs w:val="22"/>
        </w:rPr>
        <w:t xml:space="preserve">anche </w:t>
      </w:r>
      <w:r w:rsidRPr="00C847FC">
        <w:rPr>
          <w:rFonts w:ascii="Bookman Old Style" w:hAnsi="Bookman Old Style"/>
          <w:sz w:val="22"/>
          <w:szCs w:val="22"/>
        </w:rPr>
        <w:t>emanato l’atto di liquidazione, a causa dei vincoli imposti dal rispetto della normativa sul patto di stabilità interno, rimandando tale adempimento al mese di gennaio anno 2012;</w:t>
      </w:r>
    </w:p>
    <w:p w:rsidR="00A32572" w:rsidRPr="00C847FC" w:rsidRDefault="00A32572" w:rsidP="00C847FC">
      <w:pPr>
        <w:spacing w:after="0"/>
        <w:jc w:val="both"/>
        <w:rPr>
          <w:rFonts w:ascii="Bookman Old Style" w:hAnsi="Bookman Old Style"/>
          <w:sz w:val="22"/>
          <w:szCs w:val="22"/>
        </w:rPr>
      </w:pPr>
    </w:p>
    <w:p w:rsidR="00A32572" w:rsidRPr="00C847FC" w:rsidRDefault="00A32572" w:rsidP="00C847FC">
      <w:pPr>
        <w:spacing w:after="0"/>
        <w:jc w:val="both"/>
        <w:rPr>
          <w:rFonts w:ascii="Bookman Old Style" w:hAnsi="Bookman Old Style"/>
          <w:sz w:val="22"/>
          <w:szCs w:val="22"/>
        </w:rPr>
      </w:pPr>
      <w:r w:rsidRPr="00C847FC">
        <w:rPr>
          <w:rFonts w:ascii="Bookman Old Style" w:hAnsi="Bookman Old Style"/>
          <w:b/>
          <w:sz w:val="22"/>
          <w:szCs w:val="22"/>
        </w:rPr>
        <w:t>CHE</w:t>
      </w:r>
      <w:r w:rsidRPr="00C847FC">
        <w:rPr>
          <w:rFonts w:ascii="Bookman Old Style" w:hAnsi="Bookman Old Style"/>
          <w:sz w:val="22"/>
          <w:szCs w:val="22"/>
        </w:rPr>
        <w:t xml:space="preserve"> per le  imprese è stato comunque possibile, ai sensi dell’art 9 comma 3 bis del dl 29/11/2008 nr 185 e s.i.m., presentare istanza per la cessione dei crediti ed il pagamento degli interessi di mora derivanti dall’anticipazione sulle fatture;</w:t>
      </w:r>
    </w:p>
    <w:p w:rsidR="00A32572" w:rsidRPr="00C847FC" w:rsidRDefault="00A32572" w:rsidP="00C847FC">
      <w:pPr>
        <w:spacing w:after="0"/>
        <w:jc w:val="both"/>
        <w:rPr>
          <w:rFonts w:ascii="Bookman Old Style" w:hAnsi="Bookman Old Style"/>
          <w:sz w:val="22"/>
          <w:szCs w:val="22"/>
        </w:rPr>
      </w:pPr>
    </w:p>
    <w:p w:rsidR="007A5F39" w:rsidRDefault="007A5F39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b/>
          <w:smallCaps/>
          <w:sz w:val="22"/>
          <w:szCs w:val="22"/>
          <w:lang w:eastAsia="it-IT"/>
        </w:rPr>
        <w:t>preso atto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 xml:space="preserve"> che diverse sono state le fatture non pagate</w:t>
      </w:r>
      <w:r w:rsidR="00C847FC"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>,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 xml:space="preserve"> nei termini previsti dalla normativa</w:t>
      </w:r>
      <w:r w:rsidR="00C847FC"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>,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 xml:space="preserve"> durante l’anno 2011</w:t>
      </w:r>
      <w:r w:rsidR="00C847FC"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>,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 xml:space="preserve"> e pertanto il Comune di Monopoli  procederà a corrispondere alle imprese che presenteranno istanza </w:t>
      </w:r>
      <w:r w:rsidR="00C847FC"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 xml:space="preserve">i relativi 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>gli interessi maturati;</w:t>
      </w:r>
    </w:p>
    <w:p w:rsidR="00C847FC" w:rsidRPr="00C847FC" w:rsidRDefault="00C847FC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</w:p>
    <w:p w:rsidR="007A5F39" w:rsidRDefault="007A5F39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b/>
          <w:smallCaps/>
          <w:sz w:val="22"/>
          <w:szCs w:val="22"/>
          <w:lang w:eastAsia="it-IT"/>
        </w:rPr>
        <w:t>visto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 xml:space="preserve"> l’articolo 183 del D. Lgs. 267/00 si richiede l’impegno delle somme necessarie alle attività sopra evidenziate;</w:t>
      </w:r>
    </w:p>
    <w:p w:rsidR="00C847FC" w:rsidRPr="00C847FC" w:rsidRDefault="00C847FC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</w:p>
    <w:p w:rsidR="0022624B" w:rsidRDefault="0022624B" w:rsidP="00C847FC">
      <w:pPr>
        <w:spacing w:after="0"/>
        <w:jc w:val="center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sym w:font="Wingdings" w:char="F076"/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sym w:font="Wingdings" w:char="F076"/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sym w:font="Wingdings" w:char="F076"/>
      </w:r>
    </w:p>
    <w:p w:rsidR="00C847FC" w:rsidRPr="00C847FC" w:rsidRDefault="00C847FC" w:rsidP="00C847FC">
      <w:pPr>
        <w:spacing w:after="0"/>
        <w:jc w:val="center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</w:p>
    <w:p w:rsidR="009925C5" w:rsidRDefault="009925C5" w:rsidP="00C847FC">
      <w:pPr>
        <w:spacing w:after="0"/>
        <w:jc w:val="both"/>
        <w:rPr>
          <w:rFonts w:ascii="Bookman Old Style" w:hAnsi="Bookman Old Style" w:cs="Tahoma"/>
          <w:sz w:val="22"/>
          <w:szCs w:val="22"/>
        </w:rPr>
      </w:pPr>
      <w:r w:rsidRPr="00C847FC">
        <w:rPr>
          <w:rFonts w:ascii="Bookman Old Style" w:hAnsi="Bookman Old Style" w:cs="Tahoma"/>
          <w:b/>
          <w:bCs/>
          <w:sz w:val="22"/>
          <w:szCs w:val="22"/>
        </w:rPr>
        <w:t xml:space="preserve">VISTO  </w:t>
      </w:r>
      <w:r w:rsidRPr="00C847FC">
        <w:rPr>
          <w:rFonts w:ascii="Bookman Old Style" w:hAnsi="Bookman Old Style" w:cs="Tahoma"/>
          <w:bCs/>
          <w:sz w:val="22"/>
          <w:szCs w:val="22"/>
        </w:rPr>
        <w:t xml:space="preserve">i decreti </w:t>
      </w:r>
      <w:r w:rsidRPr="00C847FC">
        <w:rPr>
          <w:rFonts w:ascii="Bookman Old Style" w:hAnsi="Bookman Old Style" w:cs="Tahoma"/>
          <w:sz w:val="22"/>
          <w:szCs w:val="22"/>
        </w:rPr>
        <w:t xml:space="preserve"> con il quale il Sindaco ha nominato, ai sensi dell’art. 47 comma 1 del vigente Regolamento sull’ordinamento degli Uffici e dei Servizi, con  decorrenza  dal 28.12.2009, e per la durata di 36 mesi, i componenti del nucleo per il controllo di gestione del Comune di Monopoli;</w:t>
      </w:r>
    </w:p>
    <w:p w:rsidR="00C847FC" w:rsidRPr="00C847FC" w:rsidRDefault="00C847FC" w:rsidP="00C847FC">
      <w:pPr>
        <w:spacing w:after="0"/>
        <w:jc w:val="both"/>
        <w:rPr>
          <w:rFonts w:ascii="Bookman Old Style" w:hAnsi="Bookman Old Style" w:cs="Tahoma"/>
          <w:sz w:val="22"/>
          <w:szCs w:val="22"/>
        </w:rPr>
      </w:pPr>
    </w:p>
    <w:p w:rsidR="009925C5" w:rsidRDefault="009925C5" w:rsidP="00C847FC">
      <w:pPr>
        <w:spacing w:after="0"/>
        <w:jc w:val="both"/>
        <w:rPr>
          <w:rFonts w:ascii="Bookman Old Style" w:hAnsi="Bookman Old Style" w:cs="Tahoma"/>
          <w:sz w:val="22"/>
          <w:szCs w:val="22"/>
        </w:rPr>
      </w:pPr>
      <w:r w:rsidRPr="00C847FC">
        <w:rPr>
          <w:rFonts w:ascii="Bookman Old Style" w:hAnsi="Bookman Old Style" w:cs="Tahoma"/>
          <w:b/>
          <w:bCs/>
          <w:sz w:val="22"/>
          <w:szCs w:val="22"/>
        </w:rPr>
        <w:t xml:space="preserve">VISTO </w:t>
      </w:r>
      <w:r w:rsidRPr="00C847FC">
        <w:rPr>
          <w:rFonts w:ascii="Bookman Old Style" w:hAnsi="Bookman Old Style" w:cs="Tahoma"/>
          <w:sz w:val="22"/>
          <w:szCs w:val="22"/>
        </w:rPr>
        <w:t>l’art. 54 del vigente Regolamento degli Uffici e dei Servizi, che al punto 3) riconosce il rimborso delle spese di viaggio, effettivamente sostenute e debitamente documentate dai componenti esterni fuori sede, in caso di utilizzo del mezzo proprio e in base alle tariffe chilometriche A.C.I.;</w:t>
      </w:r>
    </w:p>
    <w:p w:rsidR="00C847FC" w:rsidRPr="00C847FC" w:rsidRDefault="00C847FC" w:rsidP="00C847FC">
      <w:pPr>
        <w:spacing w:after="0"/>
        <w:jc w:val="both"/>
        <w:rPr>
          <w:rFonts w:ascii="Bookman Old Style" w:hAnsi="Bookman Old Style" w:cs="Tahoma"/>
          <w:sz w:val="22"/>
          <w:szCs w:val="22"/>
        </w:rPr>
      </w:pPr>
    </w:p>
    <w:p w:rsidR="009925C5" w:rsidRDefault="009925C5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b/>
          <w:smallCaps/>
          <w:sz w:val="22"/>
          <w:szCs w:val="22"/>
          <w:lang w:eastAsia="it-IT"/>
        </w:rPr>
        <w:t xml:space="preserve">CONSIDERATO 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 xml:space="preserve">che il Comune di Monopoli  procederà a corrispondere ai componenti del nucleo di gestione </w:t>
      </w:r>
      <w:r w:rsidRPr="00C847FC">
        <w:rPr>
          <w:rFonts w:ascii="Bookman Old Style" w:hAnsi="Bookman Old Style" w:cs="Tahoma"/>
          <w:sz w:val="22"/>
          <w:szCs w:val="22"/>
        </w:rPr>
        <w:t>il rimborso delle spese di viaggio, per il residuo periodo 2011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>;</w:t>
      </w:r>
    </w:p>
    <w:p w:rsidR="00C847FC" w:rsidRPr="00C847FC" w:rsidRDefault="00C847FC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</w:p>
    <w:p w:rsidR="009925C5" w:rsidRDefault="009925C5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b/>
          <w:smallCaps/>
          <w:sz w:val="22"/>
          <w:szCs w:val="22"/>
          <w:lang w:eastAsia="it-IT"/>
        </w:rPr>
        <w:t>visto</w:t>
      </w:r>
      <w:r w:rsidRPr="00C847FC">
        <w:rPr>
          <w:rFonts w:ascii="Bookman Old Style" w:eastAsia="Times New Roman" w:hAnsi="Bookman Old Style" w:cs="Times New Roman"/>
          <w:sz w:val="22"/>
          <w:szCs w:val="22"/>
          <w:lang w:eastAsia="it-IT"/>
        </w:rPr>
        <w:t xml:space="preserve"> l’articolo 183 del D. Lgs. 267/00 si richiede l’impegno delle somme necessarie alle attività sopra evidenziate;</w:t>
      </w:r>
    </w:p>
    <w:p w:rsidR="00C847FC" w:rsidRPr="00C847FC" w:rsidRDefault="00C847FC" w:rsidP="00C847FC">
      <w:pPr>
        <w:spacing w:after="0"/>
        <w:jc w:val="both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</w:p>
    <w:p w:rsidR="00591124" w:rsidRPr="00C847FC" w:rsidRDefault="00591124" w:rsidP="00C847FC">
      <w:pPr>
        <w:spacing w:after="0"/>
        <w:jc w:val="center"/>
        <w:rPr>
          <w:rFonts w:ascii="Bookman Old Style" w:eastAsia="Times New Roman" w:hAnsi="Bookman Old Style" w:cs="Times New Roman"/>
          <w:b/>
          <w:smallCaps/>
          <w:spacing w:val="-2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b/>
          <w:smallCaps/>
          <w:spacing w:val="-2"/>
          <w:sz w:val="22"/>
          <w:szCs w:val="22"/>
          <w:lang w:eastAsia="it-IT"/>
        </w:rPr>
        <w:t>D E T E R M I N A</w:t>
      </w:r>
    </w:p>
    <w:p w:rsidR="00591124" w:rsidRDefault="00591124" w:rsidP="00C847FC">
      <w:pPr>
        <w:numPr>
          <w:ilvl w:val="0"/>
          <w:numId w:val="30"/>
        </w:numPr>
        <w:spacing w:after="0"/>
        <w:ind w:left="0" w:hanging="357"/>
        <w:jc w:val="both"/>
        <w:rPr>
          <w:rFonts w:ascii="Bookman Old Style" w:eastAsia="Times New Roman" w:hAnsi="Bookman Old Style" w:cs="Times New Roman"/>
          <w:spacing w:val="-6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b/>
          <w:smallCaps/>
          <w:spacing w:val="-2"/>
          <w:sz w:val="22"/>
          <w:szCs w:val="22"/>
          <w:lang w:eastAsia="it-IT"/>
        </w:rPr>
        <w:t xml:space="preserve">di riconoscere </w:t>
      </w:r>
      <w:r w:rsidRPr="00C847FC">
        <w:rPr>
          <w:rFonts w:ascii="Bookman Old Style" w:eastAsia="Times New Roman" w:hAnsi="Bookman Old Style" w:cs="Times New Roman"/>
          <w:spacing w:val="-4"/>
          <w:sz w:val="22"/>
          <w:szCs w:val="22"/>
          <w:lang w:eastAsia="it-IT"/>
        </w:rPr>
        <w:t xml:space="preserve">in favore dei soggetti di cui </w:t>
      </w:r>
      <w:r w:rsidR="003D39D8" w:rsidRPr="00C847FC">
        <w:rPr>
          <w:rFonts w:ascii="Bookman Old Style" w:eastAsia="Times New Roman" w:hAnsi="Bookman Old Style" w:cs="Times New Roman"/>
          <w:spacing w:val="-4"/>
          <w:sz w:val="22"/>
          <w:szCs w:val="22"/>
          <w:lang w:eastAsia="it-IT"/>
        </w:rPr>
        <w:t>in premessa</w:t>
      </w:r>
      <w:r w:rsidRPr="00C847FC">
        <w:rPr>
          <w:rFonts w:ascii="Bookman Old Style" w:eastAsia="Times New Roman" w:hAnsi="Bookman Old Style" w:cs="Times New Roman"/>
          <w:spacing w:val="-4"/>
          <w:sz w:val="22"/>
          <w:szCs w:val="22"/>
          <w:lang w:eastAsia="it-IT"/>
        </w:rPr>
        <w:t xml:space="preserve"> le somme necessarie alle </w:t>
      </w:r>
      <w:r w:rsidR="003D39D8" w:rsidRPr="00C847FC">
        <w:rPr>
          <w:rFonts w:ascii="Bookman Old Style" w:eastAsia="Times New Roman" w:hAnsi="Bookman Old Style" w:cs="Times New Roman"/>
          <w:spacing w:val="-4"/>
          <w:sz w:val="22"/>
          <w:szCs w:val="22"/>
          <w:lang w:eastAsia="it-IT"/>
        </w:rPr>
        <w:t>prestazioni indicate</w:t>
      </w:r>
      <w:r w:rsidRPr="00C847FC">
        <w:rPr>
          <w:rFonts w:ascii="Bookman Old Style" w:eastAsia="Times New Roman" w:hAnsi="Bookman Old Style" w:cs="Times New Roman"/>
          <w:spacing w:val="-4"/>
          <w:sz w:val="22"/>
          <w:szCs w:val="22"/>
          <w:lang w:eastAsia="it-IT"/>
        </w:rPr>
        <w:t>;</w:t>
      </w:r>
      <w:r w:rsidRPr="00C847FC">
        <w:rPr>
          <w:rFonts w:ascii="Bookman Old Style" w:eastAsia="Times New Roman" w:hAnsi="Bookman Old Style" w:cs="Times New Roman"/>
          <w:spacing w:val="-6"/>
          <w:sz w:val="22"/>
          <w:szCs w:val="22"/>
          <w:lang w:eastAsia="it-IT"/>
        </w:rPr>
        <w:t xml:space="preserve"> </w:t>
      </w:r>
    </w:p>
    <w:p w:rsidR="00C847FC" w:rsidRPr="00C847FC" w:rsidRDefault="00C847FC" w:rsidP="00C847FC">
      <w:pPr>
        <w:spacing w:after="0"/>
        <w:jc w:val="both"/>
        <w:rPr>
          <w:rFonts w:ascii="Bookman Old Style" w:eastAsia="Times New Roman" w:hAnsi="Bookman Old Style" w:cs="Times New Roman"/>
          <w:spacing w:val="-6"/>
          <w:sz w:val="22"/>
          <w:szCs w:val="22"/>
          <w:lang w:eastAsia="it-IT"/>
        </w:rPr>
      </w:pPr>
    </w:p>
    <w:p w:rsidR="00591124" w:rsidRPr="00C847FC" w:rsidRDefault="00591124" w:rsidP="00C847FC">
      <w:pPr>
        <w:numPr>
          <w:ilvl w:val="0"/>
          <w:numId w:val="30"/>
        </w:numPr>
        <w:spacing w:after="0"/>
        <w:ind w:left="0" w:hanging="357"/>
        <w:jc w:val="both"/>
        <w:rPr>
          <w:rFonts w:ascii="Bookman Old Style" w:eastAsia="Times New Roman" w:hAnsi="Bookman Old Style" w:cs="Times New Roman"/>
          <w:spacing w:val="-4"/>
          <w:sz w:val="22"/>
          <w:szCs w:val="22"/>
          <w:lang w:eastAsia="it-IT"/>
        </w:rPr>
      </w:pPr>
      <w:r w:rsidRPr="00C847FC">
        <w:rPr>
          <w:rFonts w:ascii="Bookman Old Style" w:eastAsia="Times New Roman" w:hAnsi="Bookman Old Style" w:cs="Times New Roman"/>
          <w:b/>
          <w:smallCaps/>
          <w:spacing w:val="-4"/>
          <w:sz w:val="22"/>
          <w:szCs w:val="22"/>
          <w:lang w:eastAsia="it-IT"/>
        </w:rPr>
        <w:t xml:space="preserve">di </w:t>
      </w:r>
      <w:r w:rsidRPr="00C847FC">
        <w:rPr>
          <w:rFonts w:ascii="Bookman Old Style" w:eastAsia="Times New Roman" w:hAnsi="Bookman Old Style" w:cs="Times New Roman"/>
          <w:b/>
          <w:smallCaps/>
          <w:spacing w:val="-2"/>
          <w:sz w:val="22"/>
          <w:szCs w:val="22"/>
          <w:lang w:eastAsia="it-IT"/>
        </w:rPr>
        <w:t>dare</w:t>
      </w:r>
      <w:r w:rsidRPr="00C847FC">
        <w:rPr>
          <w:rFonts w:ascii="Bookman Old Style" w:eastAsia="Times New Roman" w:hAnsi="Bookman Old Style" w:cs="Times New Roman"/>
          <w:b/>
          <w:smallCaps/>
          <w:spacing w:val="-4"/>
          <w:sz w:val="22"/>
          <w:szCs w:val="22"/>
          <w:lang w:eastAsia="it-IT"/>
        </w:rPr>
        <w:t xml:space="preserve"> atto </w:t>
      </w:r>
      <w:r w:rsidRPr="00C847FC">
        <w:rPr>
          <w:rFonts w:ascii="Bookman Old Style" w:eastAsia="Times New Roman" w:hAnsi="Bookman Old Style" w:cs="Times New Roman"/>
          <w:spacing w:val="-4"/>
          <w:sz w:val="22"/>
          <w:szCs w:val="22"/>
          <w:lang w:eastAsia="it-IT"/>
        </w:rPr>
        <w:t>che il presente provvedimento origina le movimentazioni contabili indicate nell’allegato prospetto</w:t>
      </w:r>
      <w:r w:rsidRPr="00C847FC">
        <w:rPr>
          <w:rFonts w:ascii="Bookman Old Style" w:eastAsia="Times New Roman" w:hAnsi="Bookman Old Style" w:cs="Times New Roman"/>
          <w:smallCaps/>
          <w:spacing w:val="-4"/>
          <w:sz w:val="22"/>
          <w:szCs w:val="22"/>
          <w:lang w:eastAsia="it-IT"/>
        </w:rPr>
        <w:t>.</w:t>
      </w:r>
    </w:p>
    <w:p w:rsidR="00591124" w:rsidRPr="00C847FC" w:rsidRDefault="00591124" w:rsidP="00C847FC">
      <w:pPr>
        <w:spacing w:after="0"/>
        <w:ind w:firstLine="4820"/>
        <w:jc w:val="center"/>
        <w:rPr>
          <w:rFonts w:ascii="Bookman Old Style" w:eastAsia="Times New Roman" w:hAnsi="Bookman Old Style" w:cs="Times New Roman"/>
          <w:sz w:val="22"/>
          <w:szCs w:val="22"/>
          <w:lang w:eastAsia="it-IT"/>
        </w:rPr>
      </w:pPr>
    </w:p>
    <w:p w:rsidR="00E8143F" w:rsidRPr="00C847FC" w:rsidRDefault="00E8143F" w:rsidP="00C847FC">
      <w:pPr>
        <w:spacing w:after="0"/>
        <w:ind w:left="2160"/>
        <w:jc w:val="center"/>
        <w:rPr>
          <w:rFonts w:ascii="Bookman Old Style" w:hAnsi="Bookman Old Style" w:cs="Times New Roman"/>
          <w:sz w:val="22"/>
          <w:szCs w:val="22"/>
        </w:rPr>
      </w:pPr>
      <w:r w:rsidRPr="00C847FC">
        <w:rPr>
          <w:rFonts w:ascii="Bookman Old Style" w:hAnsi="Bookman Old Style" w:cs="Times New Roman"/>
          <w:sz w:val="22"/>
          <w:szCs w:val="22"/>
        </w:rPr>
        <w:t>IL DIRIGENTE DELL’A.O. II</w:t>
      </w:r>
    </w:p>
    <w:p w:rsidR="00E8143F" w:rsidRPr="00C847FC" w:rsidRDefault="00E8143F" w:rsidP="00C847FC">
      <w:pPr>
        <w:spacing w:after="0"/>
        <w:ind w:left="2160"/>
        <w:jc w:val="center"/>
        <w:rPr>
          <w:rFonts w:ascii="Bookman Old Style" w:hAnsi="Bookman Old Style" w:cs="Times New Roman"/>
          <w:sz w:val="22"/>
          <w:szCs w:val="22"/>
        </w:rPr>
      </w:pPr>
      <w:r w:rsidRPr="00C847FC">
        <w:rPr>
          <w:rFonts w:ascii="Bookman Old Style" w:hAnsi="Bookman Old Style" w:cs="Times New Roman"/>
          <w:sz w:val="22"/>
          <w:szCs w:val="22"/>
        </w:rPr>
        <w:t>ATTIVITA’ FINANZIARIE E PATRIMONIO</w:t>
      </w:r>
    </w:p>
    <w:p w:rsidR="00E8143F" w:rsidRPr="00C847FC" w:rsidRDefault="00E8143F" w:rsidP="00C847FC">
      <w:pPr>
        <w:spacing w:after="0"/>
        <w:ind w:left="2160"/>
        <w:jc w:val="center"/>
        <w:rPr>
          <w:rFonts w:ascii="Bookman Old Style" w:hAnsi="Bookman Old Style" w:cs="Times New Roman"/>
          <w:sz w:val="22"/>
          <w:szCs w:val="22"/>
        </w:rPr>
      </w:pPr>
      <w:r w:rsidRPr="00C847FC">
        <w:rPr>
          <w:rFonts w:ascii="Bookman Old Style" w:hAnsi="Bookman Old Style" w:cs="Times New Roman"/>
          <w:sz w:val="22"/>
          <w:szCs w:val="22"/>
        </w:rPr>
        <w:t>(dott. Francesco Spinozzi)</w:t>
      </w:r>
    </w:p>
    <w:sectPr w:rsidR="00E8143F" w:rsidRPr="00C847FC" w:rsidSect="00847A3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134" w:right="1701" w:bottom="1134" w:left="1701" w:header="567" w:footer="850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5B9" w:rsidRDefault="001355B9" w:rsidP="00B2790E">
      <w:pPr>
        <w:spacing w:after="0"/>
      </w:pPr>
      <w:r>
        <w:separator/>
      </w:r>
    </w:p>
  </w:endnote>
  <w:endnote w:type="continuationSeparator" w:id="1">
    <w:p w:rsidR="001355B9" w:rsidRDefault="001355B9" w:rsidP="00B2790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ETA PLU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A42" w:rsidRDefault="00884A42" w:rsidP="00B01B53">
    <w:pPr>
      <w:pStyle w:val="Pidipagina"/>
      <w:jc w:val="center"/>
      <w:rPr>
        <w:rFonts w:ascii="Arial" w:hAnsi="Arial"/>
        <w:color w:val="404040" w:themeColor="text1" w:themeTint="BF"/>
        <w:sz w:val="18"/>
      </w:rPr>
    </w:pPr>
    <w:r>
      <w:rPr>
        <w:rFonts w:ascii="Arial" w:hAnsi="Arial"/>
        <w:color w:val="404040" w:themeColor="text1" w:themeTint="BF"/>
        <w:sz w:val="18"/>
      </w:rPr>
      <w:t>_________</w:t>
    </w:r>
  </w:p>
  <w:p w:rsidR="00884A42" w:rsidRPr="00B01B53" w:rsidRDefault="00884A42" w:rsidP="009571E2">
    <w:pPr>
      <w:pStyle w:val="Pidipagina"/>
      <w:jc w:val="center"/>
      <w:rPr>
        <w:rFonts w:ascii="Arial" w:hAnsi="Arial"/>
        <w:i/>
        <w:color w:val="404040" w:themeColor="text1" w:themeTint="BF"/>
        <w:sz w:val="16"/>
      </w:rPr>
    </w:pPr>
    <w:r w:rsidRPr="00B01B53">
      <w:rPr>
        <w:rStyle w:val="Numeropagina"/>
        <w:rFonts w:ascii="Arial" w:hAnsi="Arial"/>
        <w:i/>
        <w:sz w:val="16"/>
      </w:rPr>
      <w:t>| Pag</w:t>
    </w:r>
    <w:r w:rsidR="003B6E72" w:rsidRPr="00B01B53">
      <w:rPr>
        <w:rStyle w:val="Numeropagina"/>
        <w:rFonts w:ascii="Arial" w:hAnsi="Arial"/>
        <w:i/>
        <w:sz w:val="16"/>
      </w:rPr>
      <w:fldChar w:fldCharType="begin"/>
    </w:r>
    <w:r w:rsidRPr="00B01B53">
      <w:rPr>
        <w:rStyle w:val="Numeropagina"/>
        <w:rFonts w:ascii="Arial" w:hAnsi="Arial"/>
        <w:i/>
        <w:sz w:val="16"/>
      </w:rPr>
      <w:instrText xml:space="preserve"> PAGE </w:instrText>
    </w:r>
    <w:r w:rsidR="003B6E72" w:rsidRPr="00B01B53">
      <w:rPr>
        <w:rStyle w:val="Numeropagina"/>
        <w:rFonts w:ascii="Arial" w:hAnsi="Arial"/>
        <w:i/>
        <w:sz w:val="16"/>
      </w:rPr>
      <w:fldChar w:fldCharType="separate"/>
    </w:r>
    <w:r w:rsidR="00C847FC">
      <w:rPr>
        <w:rStyle w:val="Numeropagina"/>
        <w:rFonts w:ascii="Arial" w:hAnsi="Arial"/>
        <w:i/>
        <w:noProof/>
        <w:sz w:val="16"/>
      </w:rPr>
      <w:t>3</w:t>
    </w:r>
    <w:r w:rsidR="003B6E72" w:rsidRPr="00B01B53">
      <w:rPr>
        <w:rStyle w:val="Numeropagina"/>
        <w:rFonts w:ascii="Arial" w:hAnsi="Arial"/>
        <w:i/>
        <w:sz w:val="16"/>
      </w:rPr>
      <w:fldChar w:fldCharType="end"/>
    </w:r>
    <w:r w:rsidRPr="00B01B53">
      <w:rPr>
        <w:rStyle w:val="Numeropagina"/>
        <w:rFonts w:ascii="Arial" w:hAnsi="Arial"/>
        <w:i/>
        <w:sz w:val="16"/>
      </w:rPr>
      <w:t>/</w:t>
    </w:r>
    <w:r w:rsidR="003B6E72" w:rsidRPr="00B01B53">
      <w:rPr>
        <w:rStyle w:val="Numeropagina"/>
        <w:rFonts w:ascii="Arial" w:hAnsi="Arial"/>
        <w:i/>
        <w:sz w:val="16"/>
      </w:rPr>
      <w:fldChar w:fldCharType="begin"/>
    </w:r>
    <w:r w:rsidRPr="00B01B53">
      <w:rPr>
        <w:rStyle w:val="Numeropagina"/>
        <w:rFonts w:ascii="Arial" w:hAnsi="Arial"/>
        <w:i/>
        <w:sz w:val="16"/>
      </w:rPr>
      <w:instrText xml:space="preserve"> NUMPAGES </w:instrText>
    </w:r>
    <w:r w:rsidR="003B6E72" w:rsidRPr="00B01B53">
      <w:rPr>
        <w:rStyle w:val="Numeropagina"/>
        <w:rFonts w:ascii="Arial" w:hAnsi="Arial"/>
        <w:i/>
        <w:sz w:val="16"/>
      </w:rPr>
      <w:fldChar w:fldCharType="separate"/>
    </w:r>
    <w:r w:rsidR="00C847FC">
      <w:rPr>
        <w:rStyle w:val="Numeropagina"/>
        <w:rFonts w:ascii="Arial" w:hAnsi="Arial"/>
        <w:i/>
        <w:noProof/>
        <w:sz w:val="16"/>
      </w:rPr>
      <w:t>3</w:t>
    </w:r>
    <w:r w:rsidR="003B6E72" w:rsidRPr="00B01B53">
      <w:rPr>
        <w:rStyle w:val="Numeropagina"/>
        <w:rFonts w:ascii="Arial" w:hAnsi="Arial"/>
        <w:i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B76" w:rsidRDefault="00465B76" w:rsidP="00291FD8">
    <w:pPr>
      <w:spacing w:after="80"/>
      <w:jc w:val="center"/>
      <w:rPr>
        <w:rFonts w:ascii="Arial" w:hAnsi="Arial" w:cs="Arial"/>
        <w:sz w:val="14"/>
        <w:szCs w:val="14"/>
      </w:rPr>
    </w:pPr>
  </w:p>
  <w:p w:rsidR="00053585" w:rsidRDefault="00053585" w:rsidP="00053585">
    <w:pPr>
      <w:spacing w:after="80"/>
      <w:jc w:val="center"/>
      <w:rPr>
        <w:rFonts w:ascii="Arial" w:hAnsi="Arial" w:cs="Arial"/>
        <w:sz w:val="14"/>
        <w:szCs w:val="14"/>
      </w:rPr>
    </w:pPr>
  </w:p>
  <w:p w:rsidR="00053585" w:rsidRDefault="00053585" w:rsidP="00053585">
    <w:pPr>
      <w:spacing w:after="80"/>
      <w:jc w:val="center"/>
      <w:rPr>
        <w:rFonts w:ascii="Arial" w:hAnsi="Arial" w:cs="Arial"/>
        <w:sz w:val="14"/>
        <w:szCs w:val="14"/>
      </w:rPr>
    </w:pPr>
  </w:p>
  <w:p w:rsidR="00053585" w:rsidRPr="0011129E" w:rsidRDefault="00053585" w:rsidP="00053585">
    <w:pPr>
      <w:spacing w:after="80"/>
      <w:ind w:left="2160"/>
      <w:jc w:val="both"/>
      <w:rPr>
        <w:rFonts w:ascii="Arial" w:hAnsi="Arial" w:cs="Arial"/>
        <w:sz w:val="12"/>
        <w:szCs w:val="12"/>
      </w:rPr>
    </w:pPr>
    <w:r w:rsidRPr="00AC6D96">
      <w:rPr>
        <w:rFonts w:ascii="Arial" w:hAnsi="Arial" w:cs="Arial"/>
        <w:noProof/>
        <w:sz w:val="12"/>
        <w:szCs w:val="12"/>
        <w:lang w:eastAsia="it-IT"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column">
            <wp:posOffset>-146685</wp:posOffset>
          </wp:positionH>
          <wp:positionV relativeFrom="paragraph">
            <wp:posOffset>-5080</wp:posOffset>
          </wp:positionV>
          <wp:extent cx="916940" cy="369570"/>
          <wp:effectExtent l="19050" t="0" r="0" b="0"/>
          <wp:wrapSquare wrapText="bothSides"/>
          <wp:docPr id="3" name="Immagine 1" descr="Monopoli_AO2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onopoli_AO2_logo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369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C6D96">
      <w:rPr>
        <w:rFonts w:ascii="Arial" w:hAnsi="Arial" w:cs="Arial"/>
        <w:sz w:val="12"/>
        <w:szCs w:val="12"/>
      </w:rPr>
      <w:t xml:space="preserve"> Ufficio Servizio Bilancio e Programmazione, Sede Legale: Via G. Garibaldi 6, 70043 Monopoli, BA -  Sede Operativa: Via L. Einaudi 16, 70043 </w:t>
    </w:r>
    <w:r w:rsidRPr="00AC6D96">
      <w:rPr>
        <w:rFonts w:ascii="Arial" w:hAnsi="Arial" w:cs="Arial"/>
        <w:sz w:val="12"/>
        <w:szCs w:val="12"/>
      </w:rPr>
      <w:tab/>
      <w:t>Monopoli, BA</w:t>
    </w:r>
    <w:r w:rsidRPr="0011129E">
      <w:rPr>
        <w:rFonts w:ascii="Arial" w:hAnsi="Arial" w:cs="Arial"/>
        <w:sz w:val="12"/>
        <w:szCs w:val="12"/>
      </w:rPr>
      <w:t xml:space="preserve"> Tel 080 4140302 - Fax 080 0804140335 - e-mail </w:t>
    </w:r>
    <w:hyperlink r:id="rId2" w:history="1">
      <w:r w:rsidRPr="0011129E">
        <w:rPr>
          <w:rStyle w:val="Collegamentoipertestuale"/>
          <w:rFonts w:ascii="Arial" w:hAnsi="Arial" w:cs="Arial"/>
          <w:sz w:val="12"/>
          <w:szCs w:val="12"/>
        </w:rPr>
        <w:t>maria.dimunno@comune.monopoli.ba.it</w:t>
      </w:r>
    </w:hyperlink>
    <w:r w:rsidRPr="0011129E">
      <w:rPr>
        <w:rFonts w:ascii="Arial" w:hAnsi="Arial" w:cs="Arial"/>
        <w:sz w:val="12"/>
        <w:szCs w:val="12"/>
      </w:rPr>
      <w:t xml:space="preserve"> - web </w:t>
    </w:r>
    <w:hyperlink r:id="rId3" w:history="1">
      <w:r w:rsidRPr="0011129E">
        <w:rPr>
          <w:rStyle w:val="Collegamentoipertestuale"/>
          <w:rFonts w:ascii="Arial" w:hAnsi="Arial" w:cs="Arial"/>
          <w:sz w:val="12"/>
          <w:szCs w:val="12"/>
        </w:rPr>
        <w:t>www.comune.monopoli.ba.it</w:t>
      </w:r>
    </w:hyperlink>
    <w:r w:rsidRPr="0011129E">
      <w:rPr>
        <w:rFonts w:ascii="Arial" w:hAnsi="Arial" w:cs="Arial"/>
        <w:sz w:val="12"/>
        <w:szCs w:val="12"/>
      </w:rPr>
      <w:t xml:space="preserve"> - P.I. 00374620722</w:t>
    </w:r>
  </w:p>
  <w:p w:rsidR="00053585" w:rsidRPr="0011129E" w:rsidRDefault="00053585" w:rsidP="00053585">
    <w:pPr>
      <w:pStyle w:val="Pidipagina"/>
    </w:pPr>
  </w:p>
  <w:p w:rsidR="00D15413" w:rsidRPr="00BE4CC7" w:rsidRDefault="00D15413" w:rsidP="00053585">
    <w:pPr>
      <w:spacing w:after="0"/>
      <w:ind w:left="720" w:firstLine="720"/>
      <w:jc w:val="center"/>
      <w:rPr>
        <w:rFonts w:ascii="Arial" w:hAnsi="Arial" w:cs="Arial"/>
        <w:sz w:val="12"/>
        <w:szCs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5B9" w:rsidRDefault="001355B9" w:rsidP="00B2790E">
      <w:pPr>
        <w:spacing w:after="0"/>
      </w:pPr>
      <w:r>
        <w:separator/>
      </w:r>
    </w:p>
  </w:footnote>
  <w:footnote w:type="continuationSeparator" w:id="1">
    <w:p w:rsidR="001355B9" w:rsidRDefault="001355B9" w:rsidP="00B2790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A42" w:rsidRDefault="00884A42" w:rsidP="009571E2">
    <w:pPr>
      <w:pStyle w:val="Intestazione"/>
      <w:jc w:val="center"/>
    </w:pPr>
    <w:r w:rsidRPr="003B1BF1">
      <w:rPr>
        <w:noProof/>
        <w:lang w:eastAsia="it-IT"/>
      </w:rPr>
      <w:drawing>
        <wp:inline distT="0" distB="0" distL="0" distR="0">
          <wp:extent cx="3230880" cy="615696"/>
          <wp:effectExtent l="25400" t="0" r="0" b="0"/>
          <wp:docPr id="2" name="Picture 0" descr="Intestazione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In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30880" cy="615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84A42" w:rsidRPr="0003299D" w:rsidRDefault="00884A42" w:rsidP="00B01B53">
    <w:pPr>
      <w:pStyle w:val="Pidipagina"/>
      <w:jc w:val="center"/>
      <w:rPr>
        <w:rFonts w:ascii="Arial" w:hAnsi="Arial"/>
        <w:color w:val="404040" w:themeColor="text1" w:themeTint="BF"/>
        <w:sz w:val="16"/>
      </w:rPr>
    </w:pPr>
    <w:r w:rsidRPr="0003299D">
      <w:rPr>
        <w:rFonts w:ascii="Arial" w:hAnsi="Arial"/>
        <w:color w:val="404040" w:themeColor="text1" w:themeTint="BF"/>
        <w:sz w:val="16"/>
      </w:rPr>
      <w:t xml:space="preserve">Città di </w:t>
    </w:r>
    <w:r w:rsidRPr="0003299D">
      <w:rPr>
        <w:rFonts w:ascii="Arial" w:hAnsi="Arial"/>
        <w:b/>
        <w:color w:val="404040" w:themeColor="text1" w:themeTint="BF"/>
        <w:sz w:val="16"/>
      </w:rPr>
      <w:t>Monopoli</w:t>
    </w:r>
    <w:r w:rsidRPr="0003299D">
      <w:rPr>
        <w:rFonts w:ascii="Arial" w:hAnsi="Arial"/>
        <w:color w:val="404040" w:themeColor="text1" w:themeTint="BF"/>
        <w:sz w:val="16"/>
      </w:rPr>
      <w:t xml:space="preserve"> | via Garibaldi, 6 70043 Monopoli (BA) </w:t>
    </w:r>
    <w:r w:rsidR="00847A3D">
      <w:rPr>
        <w:rFonts w:ascii="Arial" w:hAnsi="Arial"/>
        <w:color w:val="404040" w:themeColor="text1" w:themeTint="BF"/>
        <w:sz w:val="16"/>
      </w:rPr>
      <w:t>C.F. e</w:t>
    </w:r>
    <w:r w:rsidRPr="0003299D">
      <w:rPr>
        <w:rFonts w:ascii="Arial" w:hAnsi="Arial"/>
        <w:color w:val="404040" w:themeColor="text1" w:themeTint="BF"/>
        <w:sz w:val="16"/>
      </w:rPr>
      <w:t xml:space="preserve"> P.IVA 00374620722</w:t>
    </w:r>
  </w:p>
  <w:p w:rsidR="00884A42" w:rsidRDefault="00884A42" w:rsidP="00B01B53">
    <w:pPr>
      <w:pStyle w:val="Pidipagina"/>
      <w:jc w:val="center"/>
      <w:rPr>
        <w:rFonts w:ascii="Arial" w:hAnsi="Arial"/>
        <w:color w:val="404040" w:themeColor="text1" w:themeTint="BF"/>
        <w:sz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A42" w:rsidRDefault="00183236" w:rsidP="009571E2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164857" cy="1308861"/>
          <wp:effectExtent l="19050" t="0" r="6843" b="0"/>
          <wp:docPr id="1" name="Picture 0" descr="Frontespiz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ontespizi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8178" cy="1310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E141E" w:rsidRPr="0055479F" w:rsidRDefault="00EE141E" w:rsidP="0055479F"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spacing w:after="0"/>
      <w:jc w:val="center"/>
      <w:rPr>
        <w:rFonts w:ascii="Arial" w:eastAsiaTheme="minorEastAsia" w:hAnsi="Arial" w:cs="Arial"/>
        <w:noProof/>
        <w:sz w:val="16"/>
        <w:szCs w:val="16"/>
        <w:lang w:val="en-US" w:eastAsia="it-I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228B"/>
    <w:multiLevelType w:val="hybridMultilevel"/>
    <w:tmpl w:val="AB62514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E44EAB"/>
    <w:multiLevelType w:val="singleLevel"/>
    <w:tmpl w:val="5A0020C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E3A7175"/>
    <w:multiLevelType w:val="hybridMultilevel"/>
    <w:tmpl w:val="DE34ED4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710C9A"/>
    <w:multiLevelType w:val="hybridMultilevel"/>
    <w:tmpl w:val="4ED2600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356118"/>
    <w:multiLevelType w:val="hybridMultilevel"/>
    <w:tmpl w:val="1D328E06"/>
    <w:lvl w:ilvl="0" w:tplc="041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C831579"/>
    <w:multiLevelType w:val="hybridMultilevel"/>
    <w:tmpl w:val="A5621ED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7B3138"/>
    <w:multiLevelType w:val="hybridMultilevel"/>
    <w:tmpl w:val="C8FC007C"/>
    <w:lvl w:ilvl="0" w:tplc="0410000F">
      <w:start w:val="1"/>
      <w:numFmt w:val="decimal"/>
      <w:lvlText w:val="%1."/>
      <w:lvlJc w:val="left"/>
      <w:pPr>
        <w:ind w:left="2880" w:hanging="360"/>
      </w:pPr>
    </w:lvl>
    <w:lvl w:ilvl="1" w:tplc="04100019" w:tentative="1">
      <w:start w:val="1"/>
      <w:numFmt w:val="lowerLetter"/>
      <w:lvlText w:val="%2."/>
      <w:lvlJc w:val="left"/>
      <w:pPr>
        <w:ind w:left="3600" w:hanging="360"/>
      </w:pPr>
    </w:lvl>
    <w:lvl w:ilvl="2" w:tplc="0410001B" w:tentative="1">
      <w:start w:val="1"/>
      <w:numFmt w:val="lowerRoman"/>
      <w:lvlText w:val="%3."/>
      <w:lvlJc w:val="right"/>
      <w:pPr>
        <w:ind w:left="4320" w:hanging="180"/>
      </w:pPr>
    </w:lvl>
    <w:lvl w:ilvl="3" w:tplc="0410000F" w:tentative="1">
      <w:start w:val="1"/>
      <w:numFmt w:val="decimal"/>
      <w:lvlText w:val="%4."/>
      <w:lvlJc w:val="left"/>
      <w:pPr>
        <w:ind w:left="5040" w:hanging="360"/>
      </w:pPr>
    </w:lvl>
    <w:lvl w:ilvl="4" w:tplc="04100019" w:tentative="1">
      <w:start w:val="1"/>
      <w:numFmt w:val="lowerLetter"/>
      <w:lvlText w:val="%5."/>
      <w:lvlJc w:val="left"/>
      <w:pPr>
        <w:ind w:left="5760" w:hanging="360"/>
      </w:pPr>
    </w:lvl>
    <w:lvl w:ilvl="5" w:tplc="0410001B" w:tentative="1">
      <w:start w:val="1"/>
      <w:numFmt w:val="lowerRoman"/>
      <w:lvlText w:val="%6."/>
      <w:lvlJc w:val="right"/>
      <w:pPr>
        <w:ind w:left="6480" w:hanging="180"/>
      </w:pPr>
    </w:lvl>
    <w:lvl w:ilvl="6" w:tplc="0410000F" w:tentative="1">
      <w:start w:val="1"/>
      <w:numFmt w:val="decimal"/>
      <w:lvlText w:val="%7."/>
      <w:lvlJc w:val="left"/>
      <w:pPr>
        <w:ind w:left="7200" w:hanging="360"/>
      </w:pPr>
    </w:lvl>
    <w:lvl w:ilvl="7" w:tplc="04100019" w:tentative="1">
      <w:start w:val="1"/>
      <w:numFmt w:val="lowerLetter"/>
      <w:lvlText w:val="%8."/>
      <w:lvlJc w:val="left"/>
      <w:pPr>
        <w:ind w:left="7920" w:hanging="360"/>
      </w:pPr>
    </w:lvl>
    <w:lvl w:ilvl="8" w:tplc="0410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>
    <w:nsid w:val="1F9D1476"/>
    <w:multiLevelType w:val="hybridMultilevel"/>
    <w:tmpl w:val="5E5C7B74"/>
    <w:lvl w:ilvl="0" w:tplc="7B8887B6"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480D72"/>
    <w:multiLevelType w:val="hybridMultilevel"/>
    <w:tmpl w:val="DC2878BE"/>
    <w:lvl w:ilvl="0" w:tplc="6BF88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9EE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0EA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D2D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F02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744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F0E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9A2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A27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6B64733"/>
    <w:multiLevelType w:val="hybridMultilevel"/>
    <w:tmpl w:val="4F304946"/>
    <w:lvl w:ilvl="0" w:tplc="0410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CB747B"/>
    <w:multiLevelType w:val="hybridMultilevel"/>
    <w:tmpl w:val="D506E356"/>
    <w:lvl w:ilvl="0" w:tplc="041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META PLU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META PLU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META PLU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B576C51"/>
    <w:multiLevelType w:val="hybridMultilevel"/>
    <w:tmpl w:val="23AE47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89E5D4"/>
    <w:multiLevelType w:val="hybridMultilevel"/>
    <w:tmpl w:val="77DDC13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33493D12"/>
    <w:multiLevelType w:val="hybridMultilevel"/>
    <w:tmpl w:val="A00C5B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875C3"/>
    <w:multiLevelType w:val="hybridMultilevel"/>
    <w:tmpl w:val="34169D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A01F22"/>
    <w:multiLevelType w:val="hybridMultilevel"/>
    <w:tmpl w:val="44C8F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F60F53"/>
    <w:multiLevelType w:val="hybridMultilevel"/>
    <w:tmpl w:val="48847CF0"/>
    <w:lvl w:ilvl="0" w:tplc="0410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70218E"/>
    <w:multiLevelType w:val="singleLevel"/>
    <w:tmpl w:val="E32EEC9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8">
    <w:nsid w:val="40041C30"/>
    <w:multiLevelType w:val="hybridMultilevel"/>
    <w:tmpl w:val="21D44E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3E1A21"/>
    <w:multiLevelType w:val="hybridMultilevel"/>
    <w:tmpl w:val="0E16E2D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3B81B5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5FA4377"/>
    <w:multiLevelType w:val="hybridMultilevel"/>
    <w:tmpl w:val="B06479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7C58B1"/>
    <w:multiLevelType w:val="hybridMultilevel"/>
    <w:tmpl w:val="C8BEABF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A920351"/>
    <w:multiLevelType w:val="hybridMultilevel"/>
    <w:tmpl w:val="C654083A"/>
    <w:lvl w:ilvl="0" w:tplc="04100001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b/>
        <w:i w:val="0"/>
        <w:caps w:val="0"/>
        <w:vanish w:val="0"/>
        <w:webHidden w:val="0"/>
        <w:sz w:val="24"/>
        <w:szCs w:val="24"/>
        <w:specVanish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923874"/>
    <w:multiLevelType w:val="hybridMultilevel"/>
    <w:tmpl w:val="3E409062"/>
    <w:lvl w:ilvl="0" w:tplc="04100011">
      <w:start w:val="1"/>
      <w:numFmt w:val="decimal"/>
      <w:lvlText w:val="%1)"/>
      <w:lvlJc w:val="left"/>
      <w:pPr>
        <w:tabs>
          <w:tab w:val="num" w:pos="1440"/>
        </w:tabs>
        <w:ind w:left="1267" w:hanging="547"/>
      </w:pPr>
      <w:rPr>
        <w:b/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C1C09"/>
    <w:multiLevelType w:val="hybridMultilevel"/>
    <w:tmpl w:val="AF98F28A"/>
    <w:lvl w:ilvl="0" w:tplc="0410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>
    <w:nsid w:val="5C5F67F0"/>
    <w:multiLevelType w:val="hybridMultilevel"/>
    <w:tmpl w:val="417CA5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A12CA6"/>
    <w:multiLevelType w:val="hybridMultilevel"/>
    <w:tmpl w:val="332EFC2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370050"/>
    <w:multiLevelType w:val="singleLevel"/>
    <w:tmpl w:val="41DE2E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9">
    <w:nsid w:val="61D20F42"/>
    <w:multiLevelType w:val="hybridMultilevel"/>
    <w:tmpl w:val="34AAE5C8"/>
    <w:lvl w:ilvl="0" w:tplc="0410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0">
    <w:nsid w:val="61D98774"/>
    <w:multiLevelType w:val="hybridMultilevel"/>
    <w:tmpl w:val="B3CA6BC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62286692"/>
    <w:multiLevelType w:val="hybridMultilevel"/>
    <w:tmpl w:val="385683E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950F2A"/>
    <w:multiLevelType w:val="hybridMultilevel"/>
    <w:tmpl w:val="FF1C9B0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5176EA7"/>
    <w:multiLevelType w:val="hybridMultilevel"/>
    <w:tmpl w:val="A01246DA"/>
    <w:lvl w:ilvl="0" w:tplc="5BEAB1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761759"/>
    <w:multiLevelType w:val="hybridMultilevel"/>
    <w:tmpl w:val="A00C5B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5A3CDD"/>
    <w:multiLevelType w:val="hybridMultilevel"/>
    <w:tmpl w:val="B06479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33FCD"/>
    <w:multiLevelType w:val="hybridMultilevel"/>
    <w:tmpl w:val="B694DB2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FA0104B"/>
    <w:multiLevelType w:val="hybridMultilevel"/>
    <w:tmpl w:val="6AC0CE9C"/>
    <w:lvl w:ilvl="0" w:tplc="EC68E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5CE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948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961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341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709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C06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D4B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32E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7D457DC"/>
    <w:multiLevelType w:val="hybridMultilevel"/>
    <w:tmpl w:val="945637D4"/>
    <w:lvl w:ilvl="0" w:tplc="738E6D8E">
      <w:start w:val="1"/>
      <w:numFmt w:val="bullet"/>
      <w:lvlText w:val=""/>
      <w:lvlJc w:val="left"/>
      <w:pPr>
        <w:tabs>
          <w:tab w:val="num" w:pos="567"/>
        </w:tabs>
        <w:ind w:left="567" w:hanging="207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483F5A"/>
    <w:multiLevelType w:val="hybridMultilevel"/>
    <w:tmpl w:val="65026992"/>
    <w:lvl w:ilvl="0" w:tplc="B52E2A6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3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21"/>
  </w:num>
  <w:num w:numId="9">
    <w:abstractNumId w:val="8"/>
  </w:num>
  <w:num w:numId="10">
    <w:abstractNumId w:val="37"/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20"/>
    <w:lvlOverride w:ilvl="0">
      <w:startOverride w:val="1"/>
    </w:lvlOverride>
  </w:num>
  <w:num w:numId="14">
    <w:abstractNumId w:val="1"/>
  </w:num>
  <w:num w:numId="15">
    <w:abstractNumId w:val="28"/>
  </w:num>
  <w:num w:numId="16">
    <w:abstractNumId w:val="38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24"/>
  </w:num>
  <w:num w:numId="20">
    <w:abstractNumId w:val="22"/>
  </w:num>
  <w:num w:numId="21">
    <w:abstractNumId w:val="31"/>
  </w:num>
  <w:num w:numId="22">
    <w:abstractNumId w:val="13"/>
  </w:num>
  <w:num w:numId="23">
    <w:abstractNumId w:val="33"/>
  </w:num>
  <w:num w:numId="24">
    <w:abstractNumId w:val="5"/>
  </w:num>
  <w:num w:numId="25">
    <w:abstractNumId w:val="34"/>
  </w:num>
  <w:num w:numId="26">
    <w:abstractNumId w:val="0"/>
  </w:num>
  <w:num w:numId="27">
    <w:abstractNumId w:val="19"/>
  </w:num>
  <w:num w:numId="28">
    <w:abstractNumId w:val="15"/>
  </w:num>
  <w:num w:numId="29">
    <w:abstractNumId w:val="14"/>
  </w:num>
  <w:num w:numId="30">
    <w:abstractNumId w:val="17"/>
  </w:num>
  <w:num w:numId="31">
    <w:abstractNumId w:val="32"/>
  </w:num>
  <w:num w:numId="32">
    <w:abstractNumId w:val="2"/>
  </w:num>
  <w:num w:numId="33">
    <w:abstractNumId w:val="29"/>
  </w:num>
  <w:num w:numId="34">
    <w:abstractNumId w:val="10"/>
  </w:num>
  <w:num w:numId="35">
    <w:abstractNumId w:val="36"/>
  </w:num>
  <w:num w:numId="36">
    <w:abstractNumId w:val="4"/>
  </w:num>
  <w:num w:numId="37">
    <w:abstractNumId w:val="7"/>
  </w:num>
  <w:num w:numId="38">
    <w:abstractNumId w:val="18"/>
  </w:num>
  <w:num w:numId="39">
    <w:abstractNumId w:val="27"/>
  </w:num>
  <w:num w:numId="40">
    <w:abstractNumId w:val="30"/>
  </w:num>
  <w:num w:numId="41">
    <w:abstractNumId w:val="12"/>
  </w:num>
  <w:num w:numId="42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embedSystemFonts/>
  <w:attachedTemplate r:id="rId1"/>
  <w:doNotTrackMoves/>
  <w:defaultTabStop w:val="720"/>
  <w:hyphenationZone w:val="283"/>
  <w:drawingGridHorizontalSpacing w:val="12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96258"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4830A6"/>
    <w:rsid w:val="000114E8"/>
    <w:rsid w:val="00013542"/>
    <w:rsid w:val="00016E88"/>
    <w:rsid w:val="000201F2"/>
    <w:rsid w:val="0003299D"/>
    <w:rsid w:val="00033307"/>
    <w:rsid w:val="00050385"/>
    <w:rsid w:val="00053585"/>
    <w:rsid w:val="000663D7"/>
    <w:rsid w:val="00066DB2"/>
    <w:rsid w:val="00074163"/>
    <w:rsid w:val="00075FB6"/>
    <w:rsid w:val="000805BF"/>
    <w:rsid w:val="00084F2B"/>
    <w:rsid w:val="0009605F"/>
    <w:rsid w:val="00096E9E"/>
    <w:rsid w:val="000B407D"/>
    <w:rsid w:val="000B5DAE"/>
    <w:rsid w:val="000E38DC"/>
    <w:rsid w:val="000F0066"/>
    <w:rsid w:val="000F264C"/>
    <w:rsid w:val="000F7599"/>
    <w:rsid w:val="0010080A"/>
    <w:rsid w:val="001024F1"/>
    <w:rsid w:val="001115C4"/>
    <w:rsid w:val="00125CA1"/>
    <w:rsid w:val="00130718"/>
    <w:rsid w:val="00133B43"/>
    <w:rsid w:val="00134801"/>
    <w:rsid w:val="001355B9"/>
    <w:rsid w:val="00146BD7"/>
    <w:rsid w:val="00147F67"/>
    <w:rsid w:val="001559DC"/>
    <w:rsid w:val="001768E7"/>
    <w:rsid w:val="0018138A"/>
    <w:rsid w:val="00183236"/>
    <w:rsid w:val="00186D03"/>
    <w:rsid w:val="00191F55"/>
    <w:rsid w:val="001956B1"/>
    <w:rsid w:val="001A13C5"/>
    <w:rsid w:val="001A68B4"/>
    <w:rsid w:val="001B5592"/>
    <w:rsid w:val="001D48C0"/>
    <w:rsid w:val="001F09CF"/>
    <w:rsid w:val="001F203A"/>
    <w:rsid w:val="001F22BC"/>
    <w:rsid w:val="001F42BE"/>
    <w:rsid w:val="001F4367"/>
    <w:rsid w:val="00205DE7"/>
    <w:rsid w:val="0021242B"/>
    <w:rsid w:val="0022062A"/>
    <w:rsid w:val="0022624B"/>
    <w:rsid w:val="00237A70"/>
    <w:rsid w:val="002459DF"/>
    <w:rsid w:val="00252BD5"/>
    <w:rsid w:val="00257B13"/>
    <w:rsid w:val="002705F5"/>
    <w:rsid w:val="002819C4"/>
    <w:rsid w:val="00291FD8"/>
    <w:rsid w:val="00292289"/>
    <w:rsid w:val="00294B5D"/>
    <w:rsid w:val="002A4891"/>
    <w:rsid w:val="002B3921"/>
    <w:rsid w:val="002B6B82"/>
    <w:rsid w:val="002C4D52"/>
    <w:rsid w:val="002C6874"/>
    <w:rsid w:val="002D3522"/>
    <w:rsid w:val="002E28A0"/>
    <w:rsid w:val="00307992"/>
    <w:rsid w:val="00313C88"/>
    <w:rsid w:val="00323FF4"/>
    <w:rsid w:val="00326975"/>
    <w:rsid w:val="00334600"/>
    <w:rsid w:val="003439D9"/>
    <w:rsid w:val="00351FE7"/>
    <w:rsid w:val="00361957"/>
    <w:rsid w:val="00376AA8"/>
    <w:rsid w:val="00384B37"/>
    <w:rsid w:val="00384D52"/>
    <w:rsid w:val="003A0911"/>
    <w:rsid w:val="003B1BF1"/>
    <w:rsid w:val="003B5234"/>
    <w:rsid w:val="003B6E72"/>
    <w:rsid w:val="003D39D8"/>
    <w:rsid w:val="003E0002"/>
    <w:rsid w:val="003E3ED6"/>
    <w:rsid w:val="003F20FE"/>
    <w:rsid w:val="003F443D"/>
    <w:rsid w:val="004002F3"/>
    <w:rsid w:val="00403249"/>
    <w:rsid w:val="00410776"/>
    <w:rsid w:val="00427261"/>
    <w:rsid w:val="00427F1F"/>
    <w:rsid w:val="00430993"/>
    <w:rsid w:val="00442FEE"/>
    <w:rsid w:val="004569AA"/>
    <w:rsid w:val="00457539"/>
    <w:rsid w:val="00465B76"/>
    <w:rsid w:val="00475DC9"/>
    <w:rsid w:val="004772FB"/>
    <w:rsid w:val="004830A6"/>
    <w:rsid w:val="00485BE0"/>
    <w:rsid w:val="004B3047"/>
    <w:rsid w:val="004D31AC"/>
    <w:rsid w:val="004D7475"/>
    <w:rsid w:val="004E3732"/>
    <w:rsid w:val="004E4CBC"/>
    <w:rsid w:val="004F04DD"/>
    <w:rsid w:val="00500299"/>
    <w:rsid w:val="0050336D"/>
    <w:rsid w:val="0050347A"/>
    <w:rsid w:val="00510B27"/>
    <w:rsid w:val="00522621"/>
    <w:rsid w:val="0055479F"/>
    <w:rsid w:val="00591124"/>
    <w:rsid w:val="005953C5"/>
    <w:rsid w:val="005B217F"/>
    <w:rsid w:val="005B6EF2"/>
    <w:rsid w:val="005C1CBC"/>
    <w:rsid w:val="005C2F2A"/>
    <w:rsid w:val="005C4F8E"/>
    <w:rsid w:val="005C6BFD"/>
    <w:rsid w:val="005E2B6D"/>
    <w:rsid w:val="005E2C12"/>
    <w:rsid w:val="00621BE3"/>
    <w:rsid w:val="00624E50"/>
    <w:rsid w:val="00633694"/>
    <w:rsid w:val="00642B6D"/>
    <w:rsid w:val="00667E92"/>
    <w:rsid w:val="006851B0"/>
    <w:rsid w:val="006A0370"/>
    <w:rsid w:val="006B0C93"/>
    <w:rsid w:val="006D0E67"/>
    <w:rsid w:val="006E03C7"/>
    <w:rsid w:val="006F2FCC"/>
    <w:rsid w:val="006F5C51"/>
    <w:rsid w:val="007042D4"/>
    <w:rsid w:val="00736323"/>
    <w:rsid w:val="007522F9"/>
    <w:rsid w:val="00762F09"/>
    <w:rsid w:val="00767064"/>
    <w:rsid w:val="00783C7A"/>
    <w:rsid w:val="007920C8"/>
    <w:rsid w:val="007A2F26"/>
    <w:rsid w:val="007A4E49"/>
    <w:rsid w:val="007A5F39"/>
    <w:rsid w:val="007C1057"/>
    <w:rsid w:val="007C4DB8"/>
    <w:rsid w:val="007E4722"/>
    <w:rsid w:val="007E6EFF"/>
    <w:rsid w:val="007F5EB6"/>
    <w:rsid w:val="007F6ACF"/>
    <w:rsid w:val="0080576F"/>
    <w:rsid w:val="00811B65"/>
    <w:rsid w:val="008148BE"/>
    <w:rsid w:val="00816B44"/>
    <w:rsid w:val="00821593"/>
    <w:rsid w:val="0082454C"/>
    <w:rsid w:val="00837B5E"/>
    <w:rsid w:val="00847A3D"/>
    <w:rsid w:val="00847B62"/>
    <w:rsid w:val="0085081E"/>
    <w:rsid w:val="00855898"/>
    <w:rsid w:val="00866E4F"/>
    <w:rsid w:val="00875292"/>
    <w:rsid w:val="00884A42"/>
    <w:rsid w:val="00890AA9"/>
    <w:rsid w:val="00891793"/>
    <w:rsid w:val="008B1031"/>
    <w:rsid w:val="008B7114"/>
    <w:rsid w:val="008C048D"/>
    <w:rsid w:val="008D1CF7"/>
    <w:rsid w:val="008D43D7"/>
    <w:rsid w:val="008E34AA"/>
    <w:rsid w:val="008F17CD"/>
    <w:rsid w:val="008F1DFC"/>
    <w:rsid w:val="008F2122"/>
    <w:rsid w:val="008F2275"/>
    <w:rsid w:val="00910B4F"/>
    <w:rsid w:val="00915DCA"/>
    <w:rsid w:val="00920D5D"/>
    <w:rsid w:val="009311E2"/>
    <w:rsid w:val="00945E4C"/>
    <w:rsid w:val="009477B8"/>
    <w:rsid w:val="009557E6"/>
    <w:rsid w:val="009571E2"/>
    <w:rsid w:val="00963C15"/>
    <w:rsid w:val="00964C56"/>
    <w:rsid w:val="00967BF7"/>
    <w:rsid w:val="009728A7"/>
    <w:rsid w:val="00983F83"/>
    <w:rsid w:val="009925C5"/>
    <w:rsid w:val="009971A3"/>
    <w:rsid w:val="009B04B7"/>
    <w:rsid w:val="009B4259"/>
    <w:rsid w:val="009C2336"/>
    <w:rsid w:val="009C5FFB"/>
    <w:rsid w:val="009D12B9"/>
    <w:rsid w:val="009E12AD"/>
    <w:rsid w:val="009E6731"/>
    <w:rsid w:val="009F19FD"/>
    <w:rsid w:val="009F3171"/>
    <w:rsid w:val="00A11541"/>
    <w:rsid w:val="00A25B37"/>
    <w:rsid w:val="00A32572"/>
    <w:rsid w:val="00A57CD5"/>
    <w:rsid w:val="00A6018C"/>
    <w:rsid w:val="00A66E65"/>
    <w:rsid w:val="00AA1126"/>
    <w:rsid w:val="00AA700F"/>
    <w:rsid w:val="00AB057F"/>
    <w:rsid w:val="00AB7C38"/>
    <w:rsid w:val="00AC5867"/>
    <w:rsid w:val="00AF2185"/>
    <w:rsid w:val="00AF6B7A"/>
    <w:rsid w:val="00B01B53"/>
    <w:rsid w:val="00B07A02"/>
    <w:rsid w:val="00B2790E"/>
    <w:rsid w:val="00B3688E"/>
    <w:rsid w:val="00B37725"/>
    <w:rsid w:val="00B54732"/>
    <w:rsid w:val="00B73864"/>
    <w:rsid w:val="00B75A71"/>
    <w:rsid w:val="00B7727A"/>
    <w:rsid w:val="00B822E7"/>
    <w:rsid w:val="00BA59F2"/>
    <w:rsid w:val="00BB7303"/>
    <w:rsid w:val="00BC2688"/>
    <w:rsid w:val="00BC2B75"/>
    <w:rsid w:val="00BC5669"/>
    <w:rsid w:val="00BC707D"/>
    <w:rsid w:val="00BC71A7"/>
    <w:rsid w:val="00BC745D"/>
    <w:rsid w:val="00BD12BA"/>
    <w:rsid w:val="00BD74CC"/>
    <w:rsid w:val="00BE4CC7"/>
    <w:rsid w:val="00BF516E"/>
    <w:rsid w:val="00C13D66"/>
    <w:rsid w:val="00C25E4F"/>
    <w:rsid w:val="00C3028E"/>
    <w:rsid w:val="00C425F7"/>
    <w:rsid w:val="00C544C0"/>
    <w:rsid w:val="00C80618"/>
    <w:rsid w:val="00C847FC"/>
    <w:rsid w:val="00C84949"/>
    <w:rsid w:val="00CB3312"/>
    <w:rsid w:val="00CB7970"/>
    <w:rsid w:val="00CC08CD"/>
    <w:rsid w:val="00CE2A1F"/>
    <w:rsid w:val="00CF2125"/>
    <w:rsid w:val="00CF4397"/>
    <w:rsid w:val="00D02F35"/>
    <w:rsid w:val="00D0606F"/>
    <w:rsid w:val="00D10011"/>
    <w:rsid w:val="00D15413"/>
    <w:rsid w:val="00D1678E"/>
    <w:rsid w:val="00D25596"/>
    <w:rsid w:val="00D3114F"/>
    <w:rsid w:val="00D51BAE"/>
    <w:rsid w:val="00D56085"/>
    <w:rsid w:val="00D56E74"/>
    <w:rsid w:val="00D67067"/>
    <w:rsid w:val="00D9348F"/>
    <w:rsid w:val="00D9792C"/>
    <w:rsid w:val="00DE4096"/>
    <w:rsid w:val="00DF06A5"/>
    <w:rsid w:val="00DF1972"/>
    <w:rsid w:val="00E04DBD"/>
    <w:rsid w:val="00E23241"/>
    <w:rsid w:val="00E239D5"/>
    <w:rsid w:val="00E304D2"/>
    <w:rsid w:val="00E52E0E"/>
    <w:rsid w:val="00E5458F"/>
    <w:rsid w:val="00E7407C"/>
    <w:rsid w:val="00E8143F"/>
    <w:rsid w:val="00E96805"/>
    <w:rsid w:val="00EB592D"/>
    <w:rsid w:val="00EB59A1"/>
    <w:rsid w:val="00EC154F"/>
    <w:rsid w:val="00EC7AE8"/>
    <w:rsid w:val="00ED0C5E"/>
    <w:rsid w:val="00ED319A"/>
    <w:rsid w:val="00ED7C28"/>
    <w:rsid w:val="00EE141E"/>
    <w:rsid w:val="00EF6A95"/>
    <w:rsid w:val="00F03AA8"/>
    <w:rsid w:val="00F07330"/>
    <w:rsid w:val="00F25E7B"/>
    <w:rsid w:val="00F26532"/>
    <w:rsid w:val="00F33263"/>
    <w:rsid w:val="00F35555"/>
    <w:rsid w:val="00F36547"/>
    <w:rsid w:val="00F47CA6"/>
    <w:rsid w:val="00F63078"/>
    <w:rsid w:val="00F63AAE"/>
    <w:rsid w:val="00F85777"/>
    <w:rsid w:val="00F865F3"/>
    <w:rsid w:val="00F92620"/>
    <w:rsid w:val="00F9682A"/>
    <w:rsid w:val="00FA3175"/>
    <w:rsid w:val="00FA362E"/>
    <w:rsid w:val="00FB297E"/>
    <w:rsid w:val="00FC7144"/>
    <w:rsid w:val="00FE60B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>
      <o:colormenu v:ext="edit" strokecolor="red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39D8"/>
  </w:style>
  <w:style w:type="paragraph" w:styleId="Titolo1">
    <w:name w:val="heading 1"/>
    <w:basedOn w:val="Normale"/>
    <w:next w:val="Normale"/>
    <w:link w:val="Titolo1Carattere"/>
    <w:qFormat/>
    <w:rsid w:val="00C3028E"/>
    <w:pPr>
      <w:keepNext/>
      <w:spacing w:after="0"/>
      <w:outlineLvl w:val="0"/>
    </w:pPr>
    <w:rPr>
      <w:rFonts w:ascii="Verdana" w:eastAsia="Times New Roman" w:hAnsi="Verdana" w:cs="Times New Roman"/>
      <w:b/>
      <w:sz w:val="22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C3028E"/>
    <w:pPr>
      <w:keepNext/>
      <w:spacing w:after="0"/>
      <w:jc w:val="center"/>
      <w:outlineLvl w:val="1"/>
    </w:pPr>
    <w:rPr>
      <w:rFonts w:ascii="Times New Roman" w:eastAsia="Times New Roman" w:hAnsi="Times New Roman" w:cs="Times New Roman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D0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47A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7416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B1BF1"/>
    <w:pPr>
      <w:tabs>
        <w:tab w:val="center" w:pos="4153"/>
        <w:tab w:val="right" w:pos="8306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1BF1"/>
  </w:style>
  <w:style w:type="paragraph" w:styleId="Pidipagina">
    <w:name w:val="footer"/>
    <w:basedOn w:val="Normale"/>
    <w:link w:val="PidipaginaCarattere"/>
    <w:unhideWhenUsed/>
    <w:rsid w:val="003B1BF1"/>
    <w:pPr>
      <w:tabs>
        <w:tab w:val="center" w:pos="4153"/>
        <w:tab w:val="right" w:pos="8306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1BF1"/>
  </w:style>
  <w:style w:type="character" w:styleId="Numeropagina">
    <w:name w:val="page number"/>
    <w:basedOn w:val="Carpredefinitoparagrafo"/>
    <w:unhideWhenUsed/>
    <w:rsid w:val="009571E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141E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141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9C2336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61957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semiHidden/>
    <w:rsid w:val="00C3028E"/>
    <w:pPr>
      <w:spacing w:after="0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C3028E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C3028E"/>
    <w:rPr>
      <w:rFonts w:ascii="Verdana" w:eastAsia="Times New Roman" w:hAnsi="Verdana" w:cs="Times New Roman"/>
      <w:b/>
      <w:sz w:val="22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C3028E"/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741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estonormale">
    <w:name w:val="Plain Text"/>
    <w:basedOn w:val="Normale"/>
    <w:link w:val="TestonormaleCarattere"/>
    <w:unhideWhenUsed/>
    <w:rsid w:val="00074163"/>
    <w:pPr>
      <w:spacing w:after="0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74163"/>
    <w:rPr>
      <w:rFonts w:ascii="Courier New" w:eastAsia="Times New Roman" w:hAnsi="Courier New" w:cs="Courier New"/>
      <w:sz w:val="20"/>
      <w:szCs w:val="20"/>
      <w:lang w:eastAsia="it-IT"/>
    </w:rPr>
  </w:style>
  <w:style w:type="table" w:styleId="Grigliatabella">
    <w:name w:val="Table Grid"/>
    <w:basedOn w:val="Tabellanormale"/>
    <w:rsid w:val="009D12B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link w:val="SottotitoloCarattere"/>
    <w:qFormat/>
    <w:rsid w:val="009E6731"/>
    <w:pPr>
      <w:spacing w:after="0"/>
      <w:jc w:val="center"/>
    </w:pPr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rsid w:val="009E6731"/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47A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orpodeltesto2">
    <w:name w:val="Body Text 2"/>
    <w:basedOn w:val="Normale"/>
    <w:link w:val="Corpodeltesto2Carattere"/>
    <w:rsid w:val="00847A3D"/>
    <w:pPr>
      <w:spacing w:after="0"/>
    </w:pPr>
    <w:rPr>
      <w:rFonts w:ascii="Verdana" w:eastAsia="Times New Roman" w:hAnsi="Verdana" w:cs="Times New Roman"/>
      <w:sz w:val="22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847A3D"/>
    <w:rPr>
      <w:rFonts w:ascii="Verdana" w:eastAsia="Times New Roman" w:hAnsi="Verdana" w:cs="Times New Roman"/>
      <w:sz w:val="22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80618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80618"/>
  </w:style>
  <w:style w:type="paragraph" w:customStyle="1" w:styleId="Art">
    <w:name w:val="Art"/>
    <w:basedOn w:val="Titolo1"/>
    <w:rsid w:val="00F92620"/>
    <w:pPr>
      <w:widowControl w:val="0"/>
      <w:autoSpaceDE w:val="0"/>
      <w:autoSpaceDN w:val="0"/>
      <w:adjustRightInd w:val="0"/>
      <w:ind w:left="1" w:firstLine="396"/>
      <w:jc w:val="center"/>
    </w:pPr>
    <w:rPr>
      <w:rFonts w:ascii="Arial" w:hAnsi="Arial" w:cs="Arial"/>
      <w:bCs/>
      <w:iCs/>
      <w:kern w:val="32"/>
      <w:sz w:val="28"/>
      <w:szCs w:val="32"/>
    </w:rPr>
  </w:style>
  <w:style w:type="character" w:styleId="Rimandonotaapidipagina">
    <w:name w:val="footnote reference"/>
    <w:basedOn w:val="Carpredefinitoparagrafo"/>
    <w:semiHidden/>
    <w:rsid w:val="00F92620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875292"/>
    <w:rPr>
      <w:b/>
      <w:bCs/>
    </w:rPr>
  </w:style>
  <w:style w:type="paragraph" w:styleId="NormaleWeb">
    <w:name w:val="Normal (Web)"/>
    <w:basedOn w:val="Normale"/>
    <w:unhideWhenUsed/>
    <w:rsid w:val="000F264C"/>
    <w:rPr>
      <w:rFonts w:ascii="Times New Roman" w:hAnsi="Times New Roman" w:cs="Times New Roman"/>
    </w:rPr>
  </w:style>
  <w:style w:type="paragraph" w:customStyle="1" w:styleId="Default">
    <w:name w:val="Default"/>
    <w:rsid w:val="00821593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D0C5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6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0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9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32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670847">
                              <w:marLeft w:val="0"/>
                              <w:marRight w:val="0"/>
                              <w:marTop w:val="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2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4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8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3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mune.monopoli.ba.it" TargetMode="External"/><Relationship Id="rId2" Type="http://schemas.openxmlformats.org/officeDocument/2006/relationships/hyperlink" Target="mailto:maria.dimunno@comune.monopoli.ba.it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bate.manuel\Impostazioni%20locali\Temporary%20Internet%20Files\Content.Outlook\A0FJVZXC\foglio%20intestato%20x%20uffi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692B6-E338-4E35-8969-C1449B00A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foglio intestato x uffici.dotx</Template>
  <TotalTime>508</TotalTime>
  <Pages>3</Pages>
  <Words>718</Words>
  <Characters>4099</Characters>
  <Application>Microsoft Office Word</Application>
  <DocSecurity>0</DocSecurity>
  <Lines>34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        CHE il principio dell’integrità prevede che in bilancio  non vi siano compensazi</vt:lpstr>
    </vt:vector>
  </TitlesOfParts>
  <Company>memmetti&amp;zella</Company>
  <LinksUpToDate>false</LinksUpToDate>
  <CharactersWithSpaces>4808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L'abate Manuel</dc:creator>
  <cp:lastModifiedBy>dimunno.maria</cp:lastModifiedBy>
  <cp:revision>33</cp:revision>
  <cp:lastPrinted>2010-12-21T08:26:00Z</cp:lastPrinted>
  <dcterms:created xsi:type="dcterms:W3CDTF">2011-12-27T10:43:00Z</dcterms:created>
  <dcterms:modified xsi:type="dcterms:W3CDTF">2012-01-02T09:00:00Z</dcterms:modified>
</cp:coreProperties>
</file>