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D2F17">
              <w:rPr>
                <w:rFonts w:ascii="Tahoma" w:hAnsi="Tahoma" w:cs="Tahoma"/>
                <w:b/>
                <w:sz w:val="28"/>
                <w:szCs w:val="28"/>
              </w:rPr>
              <w:t xml:space="preserve">R.C.G.00176_2012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D2F17">
              <w:rPr>
                <w:rFonts w:ascii="Tahoma" w:hAnsi="Tahoma" w:cs="Tahoma"/>
                <w:b/>
                <w:sz w:val="28"/>
                <w:szCs w:val="28"/>
              </w:rPr>
              <w:t xml:space="preserve">17/01/2012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D2F17">
              <w:rPr>
                <w:rFonts w:ascii="Tahoma" w:hAnsi="Tahoma" w:cs="Tahoma"/>
              </w:rPr>
              <w:t xml:space="preserve">Det.Sett.VI-Integ RCS 00002/2012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D2F17">
              <w:rPr>
                <w:rFonts w:ascii="Tahoma" w:hAnsi="Tahoma" w:cs="Tahoma"/>
              </w:rPr>
              <w:t xml:space="preserve">17/01/2012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D2F1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D2F1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D2F1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D2F1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D2F17">
        <w:rPr>
          <w:rFonts w:ascii="Tahoma" w:hAnsi="Tahoma" w:cs="Tahoma"/>
          <w:b/>
        </w:rPr>
        <w:t xml:space="preserve">Individuazione del personale dipendente cui vengono formalmente attribuite, per alcune attività specifiche, e per l’anno 2012, le funzioni e responsabilità di cui agli artt.4, 5 e 6 della Legge 241/1990.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F17" w:rsidRDefault="009D2F17">
      <w:r>
        <w:separator/>
      </w:r>
    </w:p>
  </w:endnote>
  <w:endnote w:type="continuationSeparator" w:id="1">
    <w:p w:rsidR="009D2F17" w:rsidRDefault="009D2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F17" w:rsidRDefault="009D2F17">
      <w:r>
        <w:separator/>
      </w:r>
    </w:p>
  </w:footnote>
  <w:footnote w:type="continuationSeparator" w:id="1">
    <w:p w:rsidR="009D2F17" w:rsidRDefault="009D2F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D2F17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2012-01-17T13:59:00Z</dcterms:created>
  <dcterms:modified xsi:type="dcterms:W3CDTF">2012-01-17T13:59:00Z</dcterms:modified>
</cp:coreProperties>
</file>