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B6D48">
              <w:rPr>
                <w:rFonts w:ascii="Tahoma" w:hAnsi="Tahoma" w:cs="Tahoma"/>
                <w:b/>
                <w:sz w:val="28"/>
                <w:szCs w:val="28"/>
              </w:rPr>
              <w:t xml:space="preserve">R.C.G.00178_2012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B6D48">
              <w:rPr>
                <w:rFonts w:ascii="Tahoma" w:hAnsi="Tahoma" w:cs="Tahoma"/>
                <w:b/>
                <w:sz w:val="28"/>
                <w:szCs w:val="28"/>
              </w:rPr>
              <w:t xml:space="preserve">19/01/2012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B6D48">
              <w:rPr>
                <w:rFonts w:ascii="Tahoma" w:hAnsi="Tahoma" w:cs="Tahoma"/>
              </w:rPr>
              <w:t xml:space="preserve">Det.Sett.I-Integr RCS 00011/2012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B6D48">
              <w:rPr>
                <w:rFonts w:ascii="Tahoma" w:hAnsi="Tahoma" w:cs="Tahoma"/>
              </w:rPr>
              <w:t xml:space="preserve">19/01/2012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B6D4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B6D4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B6D48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B6D48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B6D48">
        <w:rPr>
          <w:rFonts w:ascii="Tahoma" w:hAnsi="Tahoma" w:cs="Tahoma"/>
          <w:b/>
        </w:rPr>
        <w:t xml:space="preserve">APPELLO ALLA COMMISSIONE TRIBUTARIA REGIONALE PUGLIA AVVERSO SENTENZA NR. 167/10/11. RICORSO PROMOSSO DA OLEIFICIO COOP. DI MONOPOLI - SOC. COOP. AGRICOLA. ASSENSO COSTITUZIONE IN GIUDIZIO A MEZZO AVVOCATURA COMUNALE NELLA PERSONA DELL'AVV.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D48" w:rsidRDefault="005B6D48">
      <w:r>
        <w:separator/>
      </w:r>
    </w:p>
  </w:endnote>
  <w:endnote w:type="continuationSeparator" w:id="1">
    <w:p w:rsidR="005B6D48" w:rsidRDefault="005B6D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D48" w:rsidRDefault="005B6D48">
      <w:r>
        <w:separator/>
      </w:r>
    </w:p>
  </w:footnote>
  <w:footnote w:type="continuationSeparator" w:id="1">
    <w:p w:rsidR="005B6D48" w:rsidRDefault="005B6D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B6D48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2012-01-19T10:22:00Z</dcterms:created>
  <dcterms:modified xsi:type="dcterms:W3CDTF">2012-01-19T10:22:00Z</dcterms:modified>
</cp:coreProperties>
</file>