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3493">
              <w:rPr>
                <w:rFonts w:ascii="Tahoma" w:hAnsi="Tahoma" w:cs="Tahoma"/>
                <w:b/>
                <w:sz w:val="28"/>
                <w:szCs w:val="28"/>
              </w:rPr>
              <w:t xml:space="preserve">R.C.G.00180_2012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3493">
              <w:rPr>
                <w:rFonts w:ascii="Tahoma" w:hAnsi="Tahoma" w:cs="Tahoma"/>
                <w:b/>
                <w:sz w:val="28"/>
                <w:szCs w:val="28"/>
              </w:rPr>
              <w:t xml:space="preserve">19/01/2012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3493">
              <w:rPr>
                <w:rFonts w:ascii="Tahoma" w:hAnsi="Tahoma" w:cs="Tahoma"/>
              </w:rPr>
              <w:t xml:space="preserve">Det.Sett.I-Integr RCS 00013/2012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3493">
              <w:rPr>
                <w:rFonts w:ascii="Tahoma" w:hAnsi="Tahoma" w:cs="Tahoma"/>
              </w:rPr>
              <w:t xml:space="preserve">19/01/2012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349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349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3493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34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3493">
        <w:rPr>
          <w:rFonts w:ascii="Tahoma" w:hAnsi="Tahoma" w:cs="Tahoma"/>
          <w:b/>
        </w:rPr>
        <w:t xml:space="preserve">Procedura aperta per l’acquisizione del servizio triennale di istruttoria delle richieste di risarcimento danni rivenienti da dissesto del manto stradale. Nomina commissione giudicatrice.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493" w:rsidRDefault="00433493">
      <w:r>
        <w:separator/>
      </w:r>
    </w:p>
  </w:endnote>
  <w:endnote w:type="continuationSeparator" w:id="1">
    <w:p w:rsidR="00433493" w:rsidRDefault="00433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493" w:rsidRDefault="00433493">
      <w:r>
        <w:separator/>
      </w:r>
    </w:p>
  </w:footnote>
  <w:footnote w:type="continuationSeparator" w:id="1">
    <w:p w:rsidR="00433493" w:rsidRDefault="00433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3493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2012-01-19T11:51:00Z</dcterms:created>
  <dcterms:modified xsi:type="dcterms:W3CDTF">2012-01-19T11:51:00Z</dcterms:modified>
</cp:coreProperties>
</file>