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2727">
              <w:rPr>
                <w:rFonts w:ascii="Tahoma" w:hAnsi="Tahoma" w:cs="Tahoma"/>
                <w:b/>
                <w:sz w:val="28"/>
                <w:szCs w:val="28"/>
              </w:rPr>
              <w:t xml:space="preserve">R.C.G.00366_2012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2727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2727">
              <w:rPr>
                <w:rFonts w:ascii="Tahoma" w:hAnsi="Tahoma" w:cs="Tahoma"/>
              </w:rPr>
              <w:t xml:space="preserve">Det.Sett.III-Integ RCS 00037/2012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2727">
              <w:rPr>
                <w:rFonts w:ascii="Tahoma" w:hAnsi="Tahoma" w:cs="Tahoma"/>
              </w:rPr>
              <w:t xml:space="preserve">20/02/2012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272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272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2727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272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2727">
        <w:rPr>
          <w:rFonts w:ascii="Tahoma" w:hAnsi="Tahoma" w:cs="Tahoma"/>
          <w:b/>
        </w:rPr>
        <w:t xml:space="preserve">Procedura negoziata senza previa pubblicazione del bando di gara per l’affidamento delle attività di saggi e prove in sito e di laboratorio per gli edifici scolastici “G.Modugno”, “C. Bregante”, “P. Gobetti”. Variazione di 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727" w:rsidRDefault="006E2727">
      <w:r>
        <w:separator/>
      </w:r>
    </w:p>
  </w:endnote>
  <w:endnote w:type="continuationSeparator" w:id="0">
    <w:p w:rsidR="006E2727" w:rsidRDefault="006E2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727" w:rsidRDefault="006E2727">
      <w:r>
        <w:separator/>
      </w:r>
    </w:p>
  </w:footnote>
  <w:footnote w:type="continuationSeparator" w:id="0">
    <w:p w:rsidR="006E2727" w:rsidRDefault="006E27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272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2012-02-23T07:59:00Z</dcterms:created>
  <dcterms:modified xsi:type="dcterms:W3CDTF">2012-02-23T07:59:00Z</dcterms:modified>
</cp:coreProperties>
</file>