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925CA">
              <w:rPr>
                <w:rFonts w:ascii="Tahoma" w:hAnsi="Tahoma" w:cs="Tahoma"/>
                <w:b/>
                <w:sz w:val="28"/>
                <w:szCs w:val="28"/>
              </w:rPr>
              <w:t xml:space="preserve">R.C.G.00384_2012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925CA">
              <w:rPr>
                <w:rFonts w:ascii="Tahoma" w:hAnsi="Tahoma" w:cs="Tahoma"/>
                <w:b/>
                <w:sz w:val="28"/>
                <w:szCs w:val="28"/>
              </w:rPr>
              <w:t xml:space="preserve">27/02/2012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925CA">
              <w:rPr>
                <w:rFonts w:ascii="Tahoma" w:hAnsi="Tahoma" w:cs="Tahoma"/>
              </w:rPr>
              <w:t xml:space="preserve">Det.Sett.III-Integ RCS 00036/2012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925CA">
              <w:rPr>
                <w:rFonts w:ascii="Tahoma" w:hAnsi="Tahoma" w:cs="Tahoma"/>
              </w:rPr>
              <w:t xml:space="preserve">20/02/2012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925C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925C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925CA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925C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925CA">
        <w:rPr>
          <w:rFonts w:ascii="Tahoma" w:hAnsi="Tahoma" w:cs="Tahoma"/>
          <w:b/>
        </w:rPr>
        <w:t xml:space="preserve">Procedura negoziata senza previa pubblicazione del bando di gara per l’affidamento della fornitura in opera di attrezzature e strumentazione del centro polifunzionale con annessi laboratori urbani in via Procaccia. Variazione di impegno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5CA" w:rsidRDefault="003925CA">
      <w:r>
        <w:separator/>
      </w:r>
    </w:p>
  </w:endnote>
  <w:endnote w:type="continuationSeparator" w:id="0">
    <w:p w:rsidR="003925CA" w:rsidRDefault="003925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5CA" w:rsidRDefault="003925CA">
      <w:r>
        <w:separator/>
      </w:r>
    </w:p>
  </w:footnote>
  <w:footnote w:type="continuationSeparator" w:id="0">
    <w:p w:rsidR="003925CA" w:rsidRDefault="003925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925CA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2012-02-28T07:54:00Z</dcterms:created>
  <dcterms:modified xsi:type="dcterms:W3CDTF">2012-02-28T07:54:00Z</dcterms:modified>
</cp:coreProperties>
</file>