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95CF6">
              <w:rPr>
                <w:rFonts w:ascii="Tahoma" w:hAnsi="Tahoma" w:cs="Tahoma"/>
                <w:b/>
                <w:sz w:val="28"/>
                <w:szCs w:val="28"/>
              </w:rPr>
              <w:t xml:space="preserve">R.C.G.00436_2012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95CF6">
              <w:rPr>
                <w:rFonts w:ascii="Tahoma" w:hAnsi="Tahoma" w:cs="Tahoma"/>
                <w:b/>
                <w:sz w:val="28"/>
                <w:szCs w:val="28"/>
              </w:rPr>
              <w:t xml:space="preserve">13/03/2012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95CF6">
              <w:rPr>
                <w:rFonts w:ascii="Tahoma" w:hAnsi="Tahoma" w:cs="Tahoma"/>
              </w:rPr>
              <w:t xml:space="preserve">Det.Sett.VII-Integ RCS 00021/2012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95CF6">
              <w:rPr>
                <w:rFonts w:ascii="Tahoma" w:hAnsi="Tahoma" w:cs="Tahoma"/>
              </w:rPr>
              <w:t xml:space="preserve">13/03/2012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95CF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95CF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95CF6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95CF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95CF6">
        <w:rPr>
          <w:rFonts w:ascii="Tahoma" w:hAnsi="Tahoma" w:cs="Tahoma"/>
          <w:b/>
        </w:rPr>
        <w:t xml:space="preserve">INDIZIONE CONFERENZA DI SERVIZI AI SENSI DEL COMBINATO DISPOSTO DELL'ART. 7, COMMA 3 DEL DPR 160/2010 E ART. 14 E SEGUENTI DELLA L. N. 241/90 - RENNA ANTONIO &amp; C. SNC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5CF6" w:rsidRDefault="00395CF6">
      <w:r>
        <w:separator/>
      </w:r>
    </w:p>
  </w:endnote>
  <w:endnote w:type="continuationSeparator" w:id="0">
    <w:p w:rsidR="00395CF6" w:rsidRDefault="00395C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5CF6" w:rsidRDefault="00395CF6">
      <w:r>
        <w:separator/>
      </w:r>
    </w:p>
  </w:footnote>
  <w:footnote w:type="continuationSeparator" w:id="0">
    <w:p w:rsidR="00395CF6" w:rsidRDefault="00395C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95CF6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2012-03-14T10:06:00Z</dcterms:created>
  <dcterms:modified xsi:type="dcterms:W3CDTF">2012-03-14T10:06:00Z</dcterms:modified>
</cp:coreProperties>
</file>