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4E14">
              <w:rPr>
                <w:rFonts w:ascii="Tahoma" w:hAnsi="Tahoma" w:cs="Tahoma"/>
                <w:b/>
                <w:sz w:val="28"/>
                <w:szCs w:val="28"/>
              </w:rPr>
              <w:t xml:space="preserve">R.C.G.00467_2012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4E14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04E14">
              <w:rPr>
                <w:rFonts w:ascii="Tahoma" w:hAnsi="Tahoma" w:cs="Tahoma"/>
              </w:rPr>
              <w:t xml:space="preserve">Det.Sett.I-Integr RCS 00057/2012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4E14">
              <w:rPr>
                <w:rFonts w:ascii="Tahoma" w:hAnsi="Tahoma" w:cs="Tahoma"/>
              </w:rPr>
              <w:t xml:space="preserve">12/03/2012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4E1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4E1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4E14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4E1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04E14">
        <w:rPr>
          <w:rFonts w:ascii="Tahoma" w:hAnsi="Tahoma" w:cs="Tahoma"/>
          <w:b/>
        </w:rPr>
        <w:t xml:space="preserve">CAUSA ROTONDO MARIA LUIGIAC/COMUNE DI MONOPOLI. SENTENZA DEL GIUDICE DI PACE N. 479/2011.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E14" w:rsidRDefault="00904E14">
      <w:r>
        <w:separator/>
      </w:r>
    </w:p>
  </w:endnote>
  <w:endnote w:type="continuationSeparator" w:id="1">
    <w:p w:rsidR="00904E14" w:rsidRDefault="00904E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E14" w:rsidRDefault="00904E14">
      <w:r>
        <w:separator/>
      </w:r>
    </w:p>
  </w:footnote>
  <w:footnote w:type="continuationSeparator" w:id="1">
    <w:p w:rsidR="00904E14" w:rsidRDefault="00904E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04E14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2012-03-26T07:32:00Z</dcterms:created>
  <dcterms:modified xsi:type="dcterms:W3CDTF">2012-03-26T07:32:00Z</dcterms:modified>
</cp:coreProperties>
</file>