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E06EA">
              <w:rPr>
                <w:rFonts w:ascii="Tahoma" w:hAnsi="Tahoma" w:cs="Tahoma"/>
                <w:b/>
                <w:sz w:val="28"/>
                <w:szCs w:val="28"/>
              </w:rPr>
              <w:t xml:space="preserve">R.C.G.00577_2012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E06EA">
              <w:rPr>
                <w:rFonts w:ascii="Tahoma" w:hAnsi="Tahoma" w:cs="Tahoma"/>
                <w:b/>
                <w:sz w:val="28"/>
                <w:szCs w:val="28"/>
              </w:rPr>
              <w:t xml:space="preserve">13/04/2012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E06EA">
              <w:rPr>
                <w:rFonts w:ascii="Tahoma" w:hAnsi="Tahoma" w:cs="Tahoma"/>
              </w:rPr>
              <w:t xml:space="preserve">Det.Sett.IV-Integ RCS 00020/2012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E06EA">
              <w:rPr>
                <w:rFonts w:ascii="Tahoma" w:hAnsi="Tahoma" w:cs="Tahoma"/>
              </w:rPr>
              <w:t xml:space="preserve">13/04/2012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E06EA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E06EA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E06EA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E06E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E06EA">
        <w:rPr>
          <w:rFonts w:ascii="Tahoma" w:hAnsi="Tahoma" w:cs="Tahoma"/>
          <w:b/>
        </w:rPr>
        <w:t xml:space="preserve">Area organizzativa IV. Riaccertamento dei residui attivi e passivi al 31.12.2011 per la formazione del conto del bilancio dell’esercizio finanziario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6EA" w:rsidRDefault="00AE06EA">
      <w:r>
        <w:separator/>
      </w:r>
    </w:p>
  </w:endnote>
  <w:endnote w:type="continuationSeparator" w:id="1">
    <w:p w:rsidR="00AE06EA" w:rsidRDefault="00AE06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6EA" w:rsidRDefault="00AE06EA">
      <w:r>
        <w:separator/>
      </w:r>
    </w:p>
  </w:footnote>
  <w:footnote w:type="continuationSeparator" w:id="1">
    <w:p w:rsidR="00AE06EA" w:rsidRDefault="00AE06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E06E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2012-04-16T06:35:00Z</dcterms:created>
  <dcterms:modified xsi:type="dcterms:W3CDTF">2012-04-16T06:35:00Z</dcterms:modified>
</cp:coreProperties>
</file>