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F64E3">
              <w:rPr>
                <w:rFonts w:ascii="Tahoma" w:hAnsi="Tahoma" w:cs="Tahoma"/>
                <w:b/>
                <w:sz w:val="28"/>
                <w:szCs w:val="28"/>
              </w:rPr>
              <w:t xml:space="preserve">R.C.G.00611_2012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F64E3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F64E3">
              <w:rPr>
                <w:rFonts w:ascii="Tahoma" w:hAnsi="Tahoma" w:cs="Tahoma"/>
              </w:rPr>
              <w:t xml:space="preserve">Det.Sett.III-Integ RCS 00110/2012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F64E3">
              <w:rPr>
                <w:rFonts w:ascii="Tahoma" w:hAnsi="Tahoma" w:cs="Tahoma"/>
              </w:rPr>
              <w:t xml:space="preserve">11/04/2012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F64E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F64E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F64E3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F64E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F64E3">
        <w:rPr>
          <w:rFonts w:ascii="Tahoma" w:hAnsi="Tahoma" w:cs="Tahoma"/>
          <w:b/>
        </w:rPr>
        <w:t xml:space="preserve">Sig. Vinciguerra Luigi c/ Comune di Monopoli: sentenza nr.103/2011 del Tribunale Civile di Bari - Sez. distaccata di Monopoli. Corresponsione I.V.A..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4E3" w:rsidRDefault="00AF64E3">
      <w:r>
        <w:separator/>
      </w:r>
    </w:p>
  </w:endnote>
  <w:endnote w:type="continuationSeparator" w:id="0">
    <w:p w:rsidR="00AF64E3" w:rsidRDefault="00AF6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4E3" w:rsidRDefault="00AF64E3">
      <w:r>
        <w:separator/>
      </w:r>
    </w:p>
  </w:footnote>
  <w:footnote w:type="continuationSeparator" w:id="0">
    <w:p w:rsidR="00AF64E3" w:rsidRDefault="00AF64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F64E3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2012-04-17T08:09:00Z</dcterms:created>
  <dcterms:modified xsi:type="dcterms:W3CDTF">2012-04-17T08:09:00Z</dcterms:modified>
</cp:coreProperties>
</file>