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7A89">
              <w:rPr>
                <w:rFonts w:ascii="Tahoma" w:hAnsi="Tahoma" w:cs="Tahoma"/>
                <w:b/>
                <w:sz w:val="28"/>
                <w:szCs w:val="28"/>
              </w:rPr>
              <w:t xml:space="preserve">R.C.G.00351_2012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7A89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7A89">
              <w:rPr>
                <w:rFonts w:ascii="Tahoma" w:hAnsi="Tahoma" w:cs="Tahoma"/>
              </w:rPr>
              <w:t xml:space="preserve">Det.Sett.VII-Integ RCS 00016/2012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7A89">
              <w:rPr>
                <w:rFonts w:ascii="Tahoma" w:hAnsi="Tahoma" w:cs="Tahoma"/>
              </w:rPr>
              <w:t xml:space="preserve">17/02/2012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7A8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7A8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7A89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7A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7A89">
        <w:rPr>
          <w:rFonts w:ascii="Tahoma" w:hAnsi="Tahoma" w:cs="Tahoma"/>
          <w:b/>
        </w:rPr>
        <w:t xml:space="preserve">Determinazione nr. 1181/2011 – Disimpegno della spesa di € 14.166,66 per finanziare la proroga del SERVIZIO PORTIERATO E PULIZIA IMMOBILI COMUNALI CASTELLO E BIBLIOTECA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A89" w:rsidRDefault="00917A89">
      <w:r>
        <w:separator/>
      </w:r>
    </w:p>
  </w:endnote>
  <w:endnote w:type="continuationSeparator" w:id="0">
    <w:p w:rsidR="00917A89" w:rsidRDefault="0091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A89" w:rsidRDefault="00917A89">
      <w:r>
        <w:separator/>
      </w:r>
    </w:p>
  </w:footnote>
  <w:footnote w:type="continuationSeparator" w:id="0">
    <w:p w:rsidR="00917A89" w:rsidRDefault="00917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7A89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2012-02-23T09:06:00Z</dcterms:created>
  <dcterms:modified xsi:type="dcterms:W3CDTF">2012-02-23T09:06:00Z</dcterms:modified>
</cp:coreProperties>
</file>