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298A">
              <w:rPr>
                <w:rFonts w:ascii="Tahoma" w:hAnsi="Tahoma" w:cs="Tahoma"/>
                <w:b/>
                <w:sz w:val="28"/>
                <w:szCs w:val="28"/>
              </w:rPr>
              <w:t xml:space="preserve">R.C.G.00651_2012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298A">
              <w:rPr>
                <w:rFonts w:ascii="Tahoma" w:hAnsi="Tahoma" w:cs="Tahoma"/>
                <w:b/>
                <w:sz w:val="28"/>
                <w:szCs w:val="28"/>
              </w:rPr>
              <w:t xml:space="preserve">20/04/2012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298A">
              <w:rPr>
                <w:rFonts w:ascii="Tahoma" w:hAnsi="Tahoma" w:cs="Tahoma"/>
              </w:rPr>
              <w:t xml:space="preserve">Det.Sett.I-Integr RCS 00103/2012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298A">
              <w:rPr>
                <w:rFonts w:ascii="Tahoma" w:hAnsi="Tahoma" w:cs="Tahoma"/>
              </w:rPr>
              <w:t xml:space="preserve">17/04/2012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298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298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298A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298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298A">
        <w:rPr>
          <w:rFonts w:ascii="Tahoma" w:hAnsi="Tahoma" w:cs="Tahoma"/>
          <w:b/>
        </w:rPr>
        <w:t xml:space="preserve">CAUSA SABBATELLI F.SCO C/COMUNE DI MONOPOLI. SENTENZA GIUDICE DI PACE N. 511/2012.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98A" w:rsidRDefault="00C4298A">
      <w:r>
        <w:separator/>
      </w:r>
    </w:p>
  </w:endnote>
  <w:endnote w:type="continuationSeparator" w:id="1">
    <w:p w:rsidR="00C4298A" w:rsidRDefault="00C429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98A" w:rsidRDefault="00C4298A">
      <w:r>
        <w:separator/>
      </w:r>
    </w:p>
  </w:footnote>
  <w:footnote w:type="continuationSeparator" w:id="1">
    <w:p w:rsidR="00C4298A" w:rsidRDefault="00C429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298A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2012-04-23T06:47:00Z</dcterms:created>
  <dcterms:modified xsi:type="dcterms:W3CDTF">2012-04-23T06:47:00Z</dcterms:modified>
</cp:coreProperties>
</file>