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A7697">
              <w:rPr>
                <w:rFonts w:ascii="Tahoma" w:hAnsi="Tahoma" w:cs="Tahoma"/>
                <w:b/>
                <w:sz w:val="28"/>
                <w:szCs w:val="28"/>
              </w:rPr>
              <w:t xml:space="preserve">R.C.G.00719_2012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A7697">
              <w:rPr>
                <w:rFonts w:ascii="Tahoma" w:hAnsi="Tahoma" w:cs="Tahoma"/>
                <w:b/>
                <w:sz w:val="28"/>
                <w:szCs w:val="28"/>
              </w:rPr>
              <w:t xml:space="preserve">08/05/2012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A7697">
              <w:rPr>
                <w:rFonts w:ascii="Tahoma" w:hAnsi="Tahoma" w:cs="Tahoma"/>
              </w:rPr>
              <w:t xml:space="preserve">Det.Sett.IV-Integ RCS 00021/2012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A7697">
              <w:rPr>
                <w:rFonts w:ascii="Tahoma" w:hAnsi="Tahoma" w:cs="Tahoma"/>
              </w:rPr>
              <w:t xml:space="preserve">19/04/2012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A7697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A7697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A7697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A769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A7697">
        <w:rPr>
          <w:rFonts w:ascii="Tahoma" w:hAnsi="Tahoma" w:cs="Tahoma"/>
          <w:b/>
        </w:rPr>
        <w:t xml:space="preserve">Pirrelli Marilena c/o Comune di Monopoli. Decreto ingiuntivo T.A.R. Puglia n.118/2012.  Liquidazione delle somme dovute comprensive di spese accessorie.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697" w:rsidRDefault="00DA7697">
      <w:r>
        <w:separator/>
      </w:r>
    </w:p>
  </w:endnote>
  <w:endnote w:type="continuationSeparator" w:id="1">
    <w:p w:rsidR="00DA7697" w:rsidRDefault="00DA76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697" w:rsidRDefault="00DA7697">
      <w:r>
        <w:separator/>
      </w:r>
    </w:p>
  </w:footnote>
  <w:footnote w:type="continuationSeparator" w:id="1">
    <w:p w:rsidR="00DA7697" w:rsidRDefault="00DA76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7697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2012-05-09T06:29:00Z</dcterms:created>
  <dcterms:modified xsi:type="dcterms:W3CDTF">2012-05-09T06:29:00Z</dcterms:modified>
</cp:coreProperties>
</file>