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05C16">
              <w:rPr>
                <w:rFonts w:ascii="Tahoma" w:hAnsi="Tahoma" w:cs="Tahoma"/>
                <w:b/>
                <w:sz w:val="28"/>
                <w:szCs w:val="28"/>
              </w:rPr>
              <w:t xml:space="preserve">R.C.G.00791_2012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05C16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05C16">
              <w:rPr>
                <w:rFonts w:ascii="Tahoma" w:hAnsi="Tahoma" w:cs="Tahoma"/>
              </w:rPr>
              <w:t xml:space="preserve">Det.Sett.III-Integ RCS 00090/2012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05C16">
              <w:rPr>
                <w:rFonts w:ascii="Tahoma" w:hAnsi="Tahoma" w:cs="Tahoma"/>
              </w:rPr>
              <w:t xml:space="preserve">27/03/2012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05C1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05C1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05C16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05C16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05C16">
        <w:rPr>
          <w:rFonts w:ascii="Tahoma" w:hAnsi="Tahoma" w:cs="Tahoma"/>
          <w:b/>
        </w:rPr>
        <w:t xml:space="preserve">Manutenzione ordinaria e straordinaria e pronto intervento per boe marine poste nel tratto di mare antistante il depuratore fognario.  Affidamento diretto, ex art. 125 D.Lgs. n.163/2006, alla Engeneering Planning Construction.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05C16" w:rsidRDefault="00F05C16" w:rsidP="00F05C16">
      <w:pPr>
        <w:rPr>
          <w:rFonts w:ascii="Tahoma" w:hAnsi="Tahoma" w:cs="Tahoma"/>
        </w:rPr>
      </w:pPr>
    </w:p>
    <w:p w:rsidR="00F05C16" w:rsidRPr="00F05C16" w:rsidRDefault="00F05C16" w:rsidP="00F05C1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5C16" w:rsidRDefault="00F05C16">
      <w:r>
        <w:separator/>
      </w:r>
    </w:p>
  </w:endnote>
  <w:endnote w:type="continuationSeparator" w:id="1">
    <w:p w:rsidR="00F05C16" w:rsidRDefault="00F05C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5C16" w:rsidRDefault="00F05C16">
      <w:r>
        <w:separator/>
      </w:r>
    </w:p>
  </w:footnote>
  <w:footnote w:type="continuationSeparator" w:id="1">
    <w:p w:rsidR="00F05C16" w:rsidRDefault="00F05C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05C16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2012-06-06T09:30:00Z</dcterms:created>
  <dcterms:modified xsi:type="dcterms:W3CDTF">2012-06-06T09:30:00Z</dcterms:modified>
</cp:coreProperties>
</file>