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E3BA5">
              <w:rPr>
                <w:rFonts w:ascii="Tahoma" w:hAnsi="Tahoma" w:cs="Tahoma"/>
                <w:b/>
                <w:sz w:val="28"/>
                <w:szCs w:val="28"/>
              </w:rPr>
              <w:t xml:space="preserve">R.C.G.00912_2012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E3BA5">
              <w:rPr>
                <w:rFonts w:ascii="Tahoma" w:hAnsi="Tahoma" w:cs="Tahoma"/>
                <w:b/>
                <w:sz w:val="28"/>
                <w:szCs w:val="28"/>
              </w:rPr>
              <w:t xml:space="preserve">25/06/2012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E3BA5">
              <w:rPr>
                <w:rFonts w:ascii="Tahoma" w:hAnsi="Tahoma" w:cs="Tahoma"/>
              </w:rPr>
              <w:t xml:space="preserve">Det.Sett.III-Integ RCS 00165/2012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E3BA5">
              <w:rPr>
                <w:rFonts w:ascii="Tahoma" w:hAnsi="Tahoma" w:cs="Tahoma"/>
              </w:rPr>
              <w:t xml:space="preserve">29/05/2012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E3BA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E3BA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E3BA5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E3BA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E3BA5">
        <w:rPr>
          <w:rFonts w:ascii="Tahoma" w:hAnsi="Tahoma" w:cs="Tahoma"/>
          <w:b/>
        </w:rPr>
        <w:t xml:space="preserve">Fontana monumentale - Cottimo fiduciario e affidamento diretto della manutenzione ed assistenza tecnica ex art. 125 D.Lgs. n.163/2006 alla Ditta Nuova Grandi Impianti S.r.l. di Monopoli (BA).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3BA5" w:rsidRDefault="00BE3BA5">
      <w:r>
        <w:separator/>
      </w:r>
    </w:p>
  </w:endnote>
  <w:endnote w:type="continuationSeparator" w:id="1">
    <w:p w:rsidR="00BE3BA5" w:rsidRDefault="00BE3B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3BA5" w:rsidRDefault="00BE3BA5">
      <w:r>
        <w:separator/>
      </w:r>
    </w:p>
  </w:footnote>
  <w:footnote w:type="continuationSeparator" w:id="1">
    <w:p w:rsidR="00BE3BA5" w:rsidRDefault="00BE3B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3BA5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2012-06-25T09:03:00Z</dcterms:created>
  <dcterms:modified xsi:type="dcterms:W3CDTF">2012-06-25T09:03:00Z</dcterms:modified>
</cp:coreProperties>
</file>