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40E74">
              <w:rPr>
                <w:rFonts w:ascii="Tahoma" w:hAnsi="Tahoma" w:cs="Tahoma"/>
                <w:b/>
                <w:sz w:val="28"/>
                <w:szCs w:val="28"/>
              </w:rPr>
              <w:t xml:space="preserve">R.C.G.00964_2012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40E74">
              <w:rPr>
                <w:rFonts w:ascii="Tahoma" w:hAnsi="Tahoma" w:cs="Tahoma"/>
                <w:b/>
                <w:sz w:val="28"/>
                <w:szCs w:val="28"/>
              </w:rPr>
              <w:t xml:space="preserve">09/07/2012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40E74">
              <w:rPr>
                <w:rFonts w:ascii="Tahoma" w:hAnsi="Tahoma" w:cs="Tahoma"/>
              </w:rPr>
              <w:t xml:space="preserve">Det.Sett.I-Integr RCS 00201/2012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40E74">
              <w:rPr>
                <w:rFonts w:ascii="Tahoma" w:hAnsi="Tahoma" w:cs="Tahoma"/>
              </w:rPr>
              <w:t xml:space="preserve">22/06/2012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40E7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40E7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40E74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40E7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40E74">
        <w:rPr>
          <w:rFonts w:ascii="Tahoma" w:hAnsi="Tahoma" w:cs="Tahoma"/>
          <w:b/>
        </w:rPr>
        <w:t xml:space="preserve">RIF. DELIB. G.C. N. 41 DEL 03/04/2012. COMUNE DI MONOPOLI C/ PEPE GIOVANNI. DEFINIZIONE BONARIA DELLA VERTENZA IN MATERIA DI RISARCIMENTO DANNI CAUSATI DA BUCA ESISTENTE SUL MANTO STRADALE.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0E74" w:rsidRDefault="00D40E74">
      <w:r>
        <w:separator/>
      </w:r>
    </w:p>
  </w:endnote>
  <w:endnote w:type="continuationSeparator" w:id="1">
    <w:p w:rsidR="00D40E74" w:rsidRDefault="00D40E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0E74" w:rsidRDefault="00D40E74">
      <w:r>
        <w:separator/>
      </w:r>
    </w:p>
  </w:footnote>
  <w:footnote w:type="continuationSeparator" w:id="1">
    <w:p w:rsidR="00D40E74" w:rsidRDefault="00D40E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40E74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2012-07-10T06:32:00Z</dcterms:created>
  <dcterms:modified xsi:type="dcterms:W3CDTF">2012-07-10T06:32:00Z</dcterms:modified>
</cp:coreProperties>
</file>