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B056E">
              <w:rPr>
                <w:rFonts w:ascii="Tahoma" w:hAnsi="Tahoma" w:cs="Tahoma"/>
                <w:b/>
                <w:sz w:val="28"/>
                <w:szCs w:val="28"/>
              </w:rPr>
              <w:t xml:space="preserve">R.C.G.00993_2012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B056E">
              <w:rPr>
                <w:rFonts w:ascii="Tahoma" w:hAnsi="Tahoma" w:cs="Tahoma"/>
                <w:b/>
                <w:sz w:val="28"/>
                <w:szCs w:val="28"/>
              </w:rPr>
              <w:t xml:space="preserve">12/07/2012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B056E">
              <w:rPr>
                <w:rFonts w:ascii="Tahoma" w:hAnsi="Tahoma" w:cs="Tahoma"/>
              </w:rPr>
              <w:t xml:space="preserve">Det.Sett.I-Integr RCS 00205/2012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B056E">
              <w:rPr>
                <w:rFonts w:ascii="Tahoma" w:hAnsi="Tahoma" w:cs="Tahoma"/>
              </w:rPr>
              <w:t xml:space="preserve">22/06/2012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B056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B056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B056E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B056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B056E">
        <w:rPr>
          <w:rFonts w:ascii="Tahoma" w:hAnsi="Tahoma" w:cs="Tahoma"/>
          <w:b/>
        </w:rPr>
        <w:t xml:space="preserve">CAUSA TRIA ROSSELIA C/COMUNEDI MONOPOLI. SENTENZA DEL GIUDICE DI PACE N. 92/2012.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56E" w:rsidRDefault="00CB056E">
      <w:r>
        <w:separator/>
      </w:r>
    </w:p>
  </w:endnote>
  <w:endnote w:type="continuationSeparator" w:id="1">
    <w:p w:rsidR="00CB056E" w:rsidRDefault="00CB0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56E" w:rsidRDefault="00CB056E">
      <w:r>
        <w:separator/>
      </w:r>
    </w:p>
  </w:footnote>
  <w:footnote w:type="continuationSeparator" w:id="1">
    <w:p w:rsidR="00CB056E" w:rsidRDefault="00CB05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B056E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2012-07-16T08:06:00Z</dcterms:created>
  <dcterms:modified xsi:type="dcterms:W3CDTF">2012-07-16T08:06:00Z</dcterms:modified>
</cp:coreProperties>
</file>