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B1088">
              <w:rPr>
                <w:rFonts w:ascii="Tahoma" w:hAnsi="Tahoma" w:cs="Tahoma"/>
                <w:b/>
                <w:sz w:val="28"/>
                <w:szCs w:val="28"/>
              </w:rPr>
              <w:t xml:space="preserve">R.C.G.00991_2012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B1088">
              <w:rPr>
                <w:rFonts w:ascii="Tahoma" w:hAnsi="Tahoma" w:cs="Tahoma"/>
                <w:b/>
                <w:sz w:val="28"/>
                <w:szCs w:val="28"/>
              </w:rPr>
              <w:t xml:space="preserve">12/07/2012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B1088">
              <w:rPr>
                <w:rFonts w:ascii="Tahoma" w:hAnsi="Tahoma" w:cs="Tahoma"/>
              </w:rPr>
              <w:t xml:space="preserve">Det.Sett.I-Integr RCS 00203/2012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B1088">
              <w:rPr>
                <w:rFonts w:ascii="Tahoma" w:hAnsi="Tahoma" w:cs="Tahoma"/>
              </w:rPr>
              <w:t xml:space="preserve">22/06/2012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B108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B108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B1088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B10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B1088">
        <w:rPr>
          <w:rFonts w:ascii="Tahoma" w:hAnsi="Tahoma" w:cs="Tahoma"/>
          <w:b/>
        </w:rPr>
        <w:t xml:space="preserve">CAUSA LEGGIERO VINCENZO C/COMUNE DI MONOPOLI. SENTENZA DEL GdP N. 66/2012.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088" w:rsidRDefault="00BB1088">
      <w:r>
        <w:separator/>
      </w:r>
    </w:p>
  </w:endnote>
  <w:endnote w:type="continuationSeparator" w:id="1">
    <w:p w:rsidR="00BB1088" w:rsidRDefault="00BB10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088" w:rsidRDefault="00BB1088">
      <w:r>
        <w:separator/>
      </w:r>
    </w:p>
  </w:footnote>
  <w:footnote w:type="continuationSeparator" w:id="1">
    <w:p w:rsidR="00BB1088" w:rsidRDefault="00BB10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1088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2012-07-16T08:11:00Z</dcterms:created>
  <dcterms:modified xsi:type="dcterms:W3CDTF">2012-07-16T08:11:00Z</dcterms:modified>
</cp:coreProperties>
</file>