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355A4">
              <w:rPr>
                <w:rFonts w:ascii="Tahoma" w:hAnsi="Tahoma" w:cs="Tahoma"/>
                <w:b/>
                <w:sz w:val="28"/>
                <w:szCs w:val="28"/>
              </w:rPr>
              <w:t xml:space="preserve">R.C.G.01009_2012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355A4">
              <w:rPr>
                <w:rFonts w:ascii="Tahoma" w:hAnsi="Tahoma" w:cs="Tahoma"/>
                <w:b/>
                <w:sz w:val="28"/>
                <w:szCs w:val="28"/>
              </w:rPr>
              <w:t xml:space="preserve">17/07/2012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355A4">
              <w:rPr>
                <w:rFonts w:ascii="Tahoma" w:hAnsi="Tahoma" w:cs="Tahoma"/>
              </w:rPr>
              <w:t xml:space="preserve">Det.Sett.III-Integ RCS 00183/2012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355A4">
              <w:rPr>
                <w:rFonts w:ascii="Tahoma" w:hAnsi="Tahoma" w:cs="Tahoma"/>
              </w:rPr>
              <w:t xml:space="preserve">21/06/2012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355A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355A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355A4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355A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355A4">
        <w:rPr>
          <w:rFonts w:ascii="Tahoma" w:hAnsi="Tahoma" w:cs="Tahoma"/>
          <w:b/>
        </w:rPr>
        <w:t xml:space="preserve">Lavori di riparazione infisso-finestra presso la sede centrale del 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355A4" w:rsidRDefault="00F355A4" w:rsidP="00F355A4">
      <w:pPr>
        <w:rPr>
          <w:rFonts w:ascii="Tahoma" w:hAnsi="Tahoma" w:cs="Tahoma"/>
        </w:rPr>
      </w:pPr>
    </w:p>
    <w:p w:rsidR="00F355A4" w:rsidRPr="00F355A4" w:rsidRDefault="00F355A4" w:rsidP="00F355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5A4" w:rsidRDefault="00F355A4">
      <w:r>
        <w:separator/>
      </w:r>
    </w:p>
  </w:endnote>
  <w:endnote w:type="continuationSeparator" w:id="1">
    <w:p w:rsidR="00F355A4" w:rsidRDefault="00F355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5A4" w:rsidRDefault="00F355A4">
      <w:r>
        <w:separator/>
      </w:r>
    </w:p>
  </w:footnote>
  <w:footnote w:type="continuationSeparator" w:id="1">
    <w:p w:rsidR="00F355A4" w:rsidRDefault="00F355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355A4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2012-07-17T11:43:00Z</dcterms:created>
  <dcterms:modified xsi:type="dcterms:W3CDTF">2012-07-17T11:43:00Z</dcterms:modified>
</cp:coreProperties>
</file>