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002FE">
              <w:rPr>
                <w:rFonts w:ascii="Tahoma" w:hAnsi="Tahoma" w:cs="Tahoma"/>
                <w:b/>
                <w:sz w:val="28"/>
                <w:szCs w:val="28"/>
              </w:rPr>
              <w:t xml:space="preserve">R.C.G.01016_2012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002FE">
              <w:rPr>
                <w:rFonts w:ascii="Tahoma" w:hAnsi="Tahoma" w:cs="Tahoma"/>
                <w:b/>
                <w:sz w:val="28"/>
                <w:szCs w:val="28"/>
              </w:rPr>
              <w:t xml:space="preserve">18/07/2012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002FE">
              <w:rPr>
                <w:rFonts w:ascii="Tahoma" w:hAnsi="Tahoma" w:cs="Tahoma"/>
              </w:rPr>
              <w:t xml:space="preserve">Det.Sett.V-Integ RCS 00162/2012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002FE">
              <w:rPr>
                <w:rFonts w:ascii="Tahoma" w:hAnsi="Tahoma" w:cs="Tahoma"/>
              </w:rPr>
              <w:t xml:space="preserve">04/07/2012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002F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002F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002FE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002FE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002FE">
        <w:rPr>
          <w:rFonts w:ascii="Tahoma" w:hAnsi="Tahoma" w:cs="Tahoma"/>
          <w:b/>
        </w:rPr>
        <w:t xml:space="preserve">Determina a contrarre RCG n. 1796 del 29/12/2011. Variazione in diminuzione dell’impegno di spesa n. 122/2012 (ex 3537/2011).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02FE" w:rsidRDefault="002002FE">
      <w:r>
        <w:separator/>
      </w:r>
    </w:p>
  </w:endnote>
  <w:endnote w:type="continuationSeparator" w:id="1">
    <w:p w:rsidR="002002FE" w:rsidRDefault="002002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02FE" w:rsidRDefault="002002FE">
      <w:r>
        <w:separator/>
      </w:r>
    </w:p>
  </w:footnote>
  <w:footnote w:type="continuationSeparator" w:id="1">
    <w:p w:rsidR="002002FE" w:rsidRDefault="002002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002FE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derasmo.anna</dc:creator>
  <cp:keywords/>
  <cp:lastModifiedBy>derasmo.anna</cp:lastModifiedBy>
  <cp:revision>1</cp:revision>
  <dcterms:created xsi:type="dcterms:W3CDTF">2012-07-23T08:20:00Z</dcterms:created>
  <dcterms:modified xsi:type="dcterms:W3CDTF">2012-07-23T08:20:00Z</dcterms:modified>
</cp:coreProperties>
</file>