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C4BCF">
              <w:rPr>
                <w:rFonts w:ascii="Tahoma" w:hAnsi="Tahoma" w:cs="Tahoma"/>
                <w:b/>
                <w:sz w:val="28"/>
                <w:szCs w:val="28"/>
              </w:rPr>
              <w:t xml:space="preserve">R.C.G.01080_2012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C4BCF">
              <w:rPr>
                <w:rFonts w:ascii="Tahoma" w:hAnsi="Tahoma" w:cs="Tahoma"/>
                <w:b/>
                <w:sz w:val="28"/>
                <w:szCs w:val="28"/>
              </w:rPr>
              <w:t xml:space="preserve">25/07/2012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C4BCF">
              <w:rPr>
                <w:rFonts w:ascii="Tahoma" w:hAnsi="Tahoma" w:cs="Tahoma"/>
              </w:rPr>
              <w:t xml:space="preserve">Det.Sett.III-Integ RCS 00202/2012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C4BCF">
              <w:rPr>
                <w:rFonts w:ascii="Tahoma" w:hAnsi="Tahoma" w:cs="Tahoma"/>
              </w:rPr>
              <w:t xml:space="preserve">10/07/2012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C4BC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C4BC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C4BCF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C4BC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C4BCF">
        <w:rPr>
          <w:rFonts w:ascii="Tahoma" w:hAnsi="Tahoma" w:cs="Tahoma"/>
          <w:b/>
        </w:rPr>
        <w:t xml:space="preserve">Esecuzione in amministrazione diretta ai sensi del comma 3 dell’art.125 del D.L.vo 163/06 per l’acquisto nr.16 passerelle per spiaggia - Ditta LOCONSOLE P.V.A. Sas di Torre a Mare (BA -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BCF" w:rsidRDefault="004C4BCF">
      <w:r>
        <w:separator/>
      </w:r>
    </w:p>
  </w:endnote>
  <w:endnote w:type="continuationSeparator" w:id="1">
    <w:p w:rsidR="004C4BCF" w:rsidRDefault="004C4B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BCF" w:rsidRDefault="004C4BCF">
      <w:r>
        <w:separator/>
      </w:r>
    </w:p>
  </w:footnote>
  <w:footnote w:type="continuationSeparator" w:id="1">
    <w:p w:rsidR="004C4BCF" w:rsidRDefault="004C4B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C4BCF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2012-07-26T08:08:00Z</dcterms:created>
  <dcterms:modified xsi:type="dcterms:W3CDTF">2012-07-26T08:08:00Z</dcterms:modified>
</cp:coreProperties>
</file>