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C748C">
              <w:rPr>
                <w:rFonts w:ascii="Tahoma" w:hAnsi="Tahoma" w:cs="Tahoma"/>
                <w:b/>
                <w:sz w:val="28"/>
                <w:szCs w:val="28"/>
              </w:rPr>
              <w:t xml:space="preserve">R.C.G.01086_2012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C748C">
              <w:rPr>
                <w:rFonts w:ascii="Tahoma" w:hAnsi="Tahoma" w:cs="Tahoma"/>
                <w:b/>
                <w:sz w:val="28"/>
                <w:szCs w:val="28"/>
              </w:rPr>
              <w:t xml:space="preserve">26/07/2012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C748C">
              <w:rPr>
                <w:rFonts w:ascii="Tahoma" w:hAnsi="Tahoma" w:cs="Tahoma"/>
              </w:rPr>
              <w:t xml:space="preserve">Det.Sett.III-Integ RCS 00215/2012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C748C">
              <w:rPr>
                <w:rFonts w:ascii="Tahoma" w:hAnsi="Tahoma" w:cs="Tahoma"/>
              </w:rPr>
              <w:t xml:space="preserve">24/07/2012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C748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C748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C748C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C748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C748C">
        <w:rPr>
          <w:rFonts w:ascii="Tahoma" w:hAnsi="Tahoma" w:cs="Tahoma"/>
          <w:b/>
        </w:rPr>
        <w:t xml:space="preserve">Acquisizione in economia, con il sistema del cottimo fiduciario, dei lavori di manutenzione degli edifici pubblici di competenza comunale. Approvazione della perizia tecnica, del cottimo e degli atti di gara mediante procedura negoziata.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C748C" w:rsidRDefault="009C748C" w:rsidP="009C748C">
      <w:pPr>
        <w:rPr>
          <w:rFonts w:ascii="Tahoma" w:hAnsi="Tahoma" w:cs="Tahoma"/>
        </w:rPr>
      </w:pPr>
    </w:p>
    <w:p w:rsidR="009C748C" w:rsidRPr="009C748C" w:rsidRDefault="009C748C" w:rsidP="009C748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48C" w:rsidRDefault="009C748C">
      <w:r>
        <w:separator/>
      </w:r>
    </w:p>
  </w:endnote>
  <w:endnote w:type="continuationSeparator" w:id="0">
    <w:p w:rsidR="009C748C" w:rsidRDefault="009C74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48C" w:rsidRDefault="009C748C">
      <w:r>
        <w:separator/>
      </w:r>
    </w:p>
  </w:footnote>
  <w:footnote w:type="continuationSeparator" w:id="0">
    <w:p w:rsidR="009C748C" w:rsidRDefault="009C74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C748C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2012-07-26T14:39:00Z</dcterms:created>
  <dcterms:modified xsi:type="dcterms:W3CDTF">2012-07-26T14:39:00Z</dcterms:modified>
</cp:coreProperties>
</file>