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B5502">
              <w:rPr>
                <w:rFonts w:ascii="Tahoma" w:hAnsi="Tahoma" w:cs="Tahoma"/>
                <w:b/>
                <w:sz w:val="28"/>
                <w:szCs w:val="28"/>
              </w:rPr>
              <w:t xml:space="preserve">R.C.G.01113_2012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B5502">
              <w:rPr>
                <w:rFonts w:ascii="Tahoma" w:hAnsi="Tahoma" w:cs="Tahoma"/>
                <w:b/>
                <w:sz w:val="28"/>
                <w:szCs w:val="28"/>
              </w:rPr>
              <w:t xml:space="preserve">31/07/2012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B5502">
              <w:rPr>
                <w:rFonts w:ascii="Tahoma" w:hAnsi="Tahoma" w:cs="Tahoma"/>
              </w:rPr>
              <w:t xml:space="preserve">Det.Sett.I-Integr RCS 00258/2012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B5502">
              <w:rPr>
                <w:rFonts w:ascii="Tahoma" w:hAnsi="Tahoma" w:cs="Tahoma"/>
              </w:rPr>
              <w:t xml:space="preserve">31/07/2012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B550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B550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B5502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B550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B5502">
        <w:rPr>
          <w:rFonts w:ascii="Tahoma" w:hAnsi="Tahoma" w:cs="Tahoma"/>
          <w:b/>
        </w:rPr>
        <w:t xml:space="preserve">PROPOSIZIONE APPELLO AVVERSO SENTENZA N. 148/2012 RESA NEL GIUDIZIO R.G. N. 562/2000 PROMOSSO DA DI MOLA VITO +1. ASSENSO ALLA COSTITUZIONE IN GIUDIZIO A MEZZO DELL'AVVOCATURA COMUNALE NELLA PERSONA DELL'AVV. 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502" w:rsidRDefault="00EB5502">
      <w:r>
        <w:separator/>
      </w:r>
    </w:p>
  </w:endnote>
  <w:endnote w:type="continuationSeparator" w:id="1">
    <w:p w:rsidR="00EB5502" w:rsidRDefault="00EB55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502" w:rsidRDefault="00EB5502">
      <w:r>
        <w:separator/>
      </w:r>
    </w:p>
  </w:footnote>
  <w:footnote w:type="continuationSeparator" w:id="1">
    <w:p w:rsidR="00EB5502" w:rsidRDefault="00EB55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B5502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2012-07-31T11:06:00Z</dcterms:created>
  <dcterms:modified xsi:type="dcterms:W3CDTF">2012-07-31T11:06:00Z</dcterms:modified>
</cp:coreProperties>
</file>