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6197">
              <w:rPr>
                <w:rFonts w:ascii="Tahoma" w:hAnsi="Tahoma" w:cs="Tahoma"/>
                <w:b/>
                <w:sz w:val="28"/>
                <w:szCs w:val="28"/>
              </w:rPr>
              <w:t xml:space="preserve">R.C.G.01185_2012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6197">
              <w:rPr>
                <w:rFonts w:ascii="Tahoma" w:hAnsi="Tahoma" w:cs="Tahoma"/>
                <w:b/>
                <w:sz w:val="28"/>
                <w:szCs w:val="28"/>
              </w:rPr>
              <w:t xml:space="preserve">10/08/2012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6197">
              <w:rPr>
                <w:rFonts w:ascii="Tahoma" w:hAnsi="Tahoma" w:cs="Tahoma"/>
              </w:rPr>
              <w:t xml:space="preserve">Det.Sett.I-Integr RCS 00267/2012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6197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619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619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6197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61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6197">
        <w:rPr>
          <w:rFonts w:ascii="Tahoma" w:hAnsi="Tahoma" w:cs="Tahoma"/>
          <w:b/>
        </w:rPr>
        <w:t xml:space="preserve">Area organizzativa I. Eliminazione  residui passivi di stanziamento di parte capitale al 29.03.2012 per la formazione del conto del bilancio dell’esercizio finanziario 2012. Alleggerimento obiettivi del patto interno di stabilità.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197" w:rsidRDefault="005B6197">
      <w:r>
        <w:separator/>
      </w:r>
    </w:p>
  </w:endnote>
  <w:endnote w:type="continuationSeparator" w:id="1">
    <w:p w:rsidR="005B6197" w:rsidRDefault="005B6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197" w:rsidRDefault="005B6197">
      <w:r>
        <w:separator/>
      </w:r>
    </w:p>
  </w:footnote>
  <w:footnote w:type="continuationSeparator" w:id="1">
    <w:p w:rsidR="005B6197" w:rsidRDefault="005B61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6197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2012-09-03T10:00:00Z</dcterms:created>
  <dcterms:modified xsi:type="dcterms:W3CDTF">2012-09-03T10:00:00Z</dcterms:modified>
</cp:coreProperties>
</file>