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0F21">
              <w:rPr>
                <w:rFonts w:ascii="Tahoma" w:hAnsi="Tahoma" w:cs="Tahoma"/>
                <w:b/>
                <w:sz w:val="28"/>
                <w:szCs w:val="28"/>
              </w:rPr>
              <w:t xml:space="preserve">R.C.G.01205_2012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0F21">
              <w:rPr>
                <w:rFonts w:ascii="Tahoma" w:hAnsi="Tahoma" w:cs="Tahoma"/>
                <w:b/>
                <w:sz w:val="28"/>
                <w:szCs w:val="28"/>
              </w:rPr>
              <w:t xml:space="preserve">04/09/2012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0F21">
              <w:rPr>
                <w:rFonts w:ascii="Tahoma" w:hAnsi="Tahoma" w:cs="Tahoma"/>
              </w:rPr>
              <w:t xml:space="preserve">Det.Sett.III-Integ RCS 00245/2012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0F21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0F2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0F2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0F2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0F2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0F21">
        <w:rPr>
          <w:rFonts w:ascii="Tahoma" w:hAnsi="Tahoma" w:cs="Tahoma"/>
          <w:b/>
        </w:rPr>
        <w:t xml:space="preserve">Variazione impegno di spesa per acquisizione in economia di uno Schermo di proiezione per il Centro Polifunzionale in via del Procaccia, giusto progetto “Musica d’attracco”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00F21" w:rsidRDefault="00C00F21" w:rsidP="00C00F21">
      <w:pPr>
        <w:rPr>
          <w:rFonts w:ascii="Tahoma" w:hAnsi="Tahoma" w:cs="Tahoma"/>
        </w:rPr>
      </w:pPr>
    </w:p>
    <w:p w:rsidR="00C00F21" w:rsidRPr="00C00F21" w:rsidRDefault="00C00F21" w:rsidP="00C00F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F21" w:rsidRDefault="00C00F21">
      <w:r>
        <w:separator/>
      </w:r>
    </w:p>
  </w:endnote>
  <w:endnote w:type="continuationSeparator" w:id="0">
    <w:p w:rsidR="00C00F21" w:rsidRDefault="00C00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F21" w:rsidRDefault="00C00F21">
      <w:r>
        <w:separator/>
      </w:r>
    </w:p>
  </w:footnote>
  <w:footnote w:type="continuationSeparator" w:id="0">
    <w:p w:rsidR="00C00F21" w:rsidRDefault="00C00F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0F21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2012-09-04T10:38:00Z</dcterms:created>
  <dcterms:modified xsi:type="dcterms:W3CDTF">2012-09-04T10:38:00Z</dcterms:modified>
</cp:coreProperties>
</file>