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733D0">
              <w:rPr>
                <w:rFonts w:ascii="Tahoma" w:hAnsi="Tahoma" w:cs="Tahoma"/>
                <w:b/>
                <w:sz w:val="28"/>
                <w:szCs w:val="28"/>
              </w:rPr>
              <w:t xml:space="preserve">R.C.G.01275_2012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733D0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733D0">
              <w:rPr>
                <w:rFonts w:ascii="Tahoma" w:hAnsi="Tahoma" w:cs="Tahoma"/>
              </w:rPr>
              <w:t xml:space="preserve">Det.Sett.III-Integ RCS 00277/2012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733D0">
              <w:rPr>
                <w:rFonts w:ascii="Tahoma" w:hAnsi="Tahoma" w:cs="Tahoma"/>
              </w:rPr>
              <w:t xml:space="preserve">20/09/2012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733D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733D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733D0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733D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733D0">
        <w:rPr>
          <w:rFonts w:ascii="Tahoma" w:hAnsi="Tahoma" w:cs="Tahoma"/>
          <w:b/>
        </w:rPr>
        <w:t xml:space="preserve">Progetto “Musica d’attracco”. Acquisizione in economia di un Videoproiettore per il Centro Polifunzionale in via Procaccia – Affidamento diretto ex art. 125 D.Lgs. n.163/2006, comma 11, ultimo periodo – CUP C63E06000130006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733D0" w:rsidRDefault="00A733D0" w:rsidP="00A733D0">
      <w:pPr>
        <w:rPr>
          <w:rFonts w:ascii="Tahoma" w:hAnsi="Tahoma" w:cs="Tahoma"/>
        </w:rPr>
      </w:pPr>
    </w:p>
    <w:p w:rsidR="00A733D0" w:rsidRPr="00A733D0" w:rsidRDefault="00A733D0" w:rsidP="00A733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3D0" w:rsidRDefault="00A733D0">
      <w:r>
        <w:separator/>
      </w:r>
    </w:p>
  </w:endnote>
  <w:endnote w:type="continuationSeparator" w:id="0">
    <w:p w:rsidR="00A733D0" w:rsidRDefault="00A733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3D0" w:rsidRDefault="00A733D0">
      <w:r>
        <w:separator/>
      </w:r>
    </w:p>
  </w:footnote>
  <w:footnote w:type="continuationSeparator" w:id="0">
    <w:p w:rsidR="00A733D0" w:rsidRDefault="00A733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33D0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2012-09-25T06:41:00Z</dcterms:created>
  <dcterms:modified xsi:type="dcterms:W3CDTF">2012-09-25T06:41:00Z</dcterms:modified>
</cp:coreProperties>
</file>