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B665C">
              <w:rPr>
                <w:rFonts w:ascii="Tahoma" w:hAnsi="Tahoma" w:cs="Tahoma"/>
                <w:b/>
                <w:sz w:val="28"/>
                <w:szCs w:val="28"/>
              </w:rPr>
              <w:t xml:space="preserve">R.C.G.01299_2012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B665C">
              <w:rPr>
                <w:rFonts w:ascii="Tahoma" w:hAnsi="Tahoma" w:cs="Tahoma"/>
                <w:b/>
                <w:sz w:val="28"/>
                <w:szCs w:val="28"/>
              </w:rPr>
              <w:t xml:space="preserve">26/09/2012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B665C">
              <w:rPr>
                <w:rFonts w:ascii="Tahoma" w:hAnsi="Tahoma" w:cs="Tahoma"/>
              </w:rPr>
              <w:t xml:space="preserve">Det.Sett.III-Integ RCS 00256/2012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B665C">
              <w:rPr>
                <w:rFonts w:ascii="Tahoma" w:hAnsi="Tahoma" w:cs="Tahoma"/>
              </w:rPr>
              <w:t xml:space="preserve">31/08/2012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B665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B665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B665C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B665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B665C">
        <w:rPr>
          <w:rFonts w:ascii="Tahoma" w:hAnsi="Tahoma" w:cs="Tahoma"/>
          <w:b/>
        </w:rPr>
        <w:t xml:space="preserve">Lavori di Manutenzione Straordinaria volti alla sistemazione dell’impianto elettrico della zona spogliatoi e sostituzione fari dell’area di gioco della Palestra Comunale sita in Via Giorgio La Pira. (CIG Z1D06316A9)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665C" w:rsidRDefault="003B665C">
      <w:r>
        <w:separator/>
      </w:r>
    </w:p>
  </w:endnote>
  <w:endnote w:type="continuationSeparator" w:id="0">
    <w:p w:rsidR="003B665C" w:rsidRDefault="003B66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665C" w:rsidRDefault="003B665C">
      <w:r>
        <w:separator/>
      </w:r>
    </w:p>
  </w:footnote>
  <w:footnote w:type="continuationSeparator" w:id="0">
    <w:p w:rsidR="003B665C" w:rsidRDefault="003B66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B665C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2012-09-27T06:38:00Z</dcterms:created>
  <dcterms:modified xsi:type="dcterms:W3CDTF">2012-09-27T06:38:00Z</dcterms:modified>
</cp:coreProperties>
</file>