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698A">
              <w:rPr>
                <w:rFonts w:ascii="Tahoma" w:hAnsi="Tahoma" w:cs="Tahoma"/>
                <w:b/>
                <w:sz w:val="28"/>
                <w:szCs w:val="28"/>
              </w:rPr>
              <w:t xml:space="preserve">R.C.G.01319_2012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698A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698A">
              <w:rPr>
                <w:rFonts w:ascii="Tahoma" w:hAnsi="Tahoma" w:cs="Tahoma"/>
              </w:rPr>
              <w:t xml:space="preserve">Det.Sett.III-Integ RCS 00258/2012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698A">
              <w:rPr>
                <w:rFonts w:ascii="Tahoma" w:hAnsi="Tahoma" w:cs="Tahoma"/>
              </w:rPr>
              <w:t xml:space="preserve">03/09/2012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698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698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698A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698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698A">
        <w:rPr>
          <w:rFonts w:ascii="Tahoma" w:hAnsi="Tahoma" w:cs="Tahoma"/>
          <w:b/>
        </w:rPr>
        <w:t xml:space="preserve">Sigg. Cassone Nunzia e Cofano Vittorio c/ Comune di Monopoli: sentenza nr.240/2012 del Giudice di Pace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98A" w:rsidRDefault="00CA698A">
      <w:r>
        <w:separator/>
      </w:r>
    </w:p>
  </w:endnote>
  <w:endnote w:type="continuationSeparator" w:id="0">
    <w:p w:rsidR="00CA698A" w:rsidRDefault="00CA6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98A" w:rsidRDefault="00CA698A">
      <w:r>
        <w:separator/>
      </w:r>
    </w:p>
  </w:footnote>
  <w:footnote w:type="continuationSeparator" w:id="0">
    <w:p w:rsidR="00CA698A" w:rsidRDefault="00CA6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A698A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2012-10-02T12:40:00Z</dcterms:created>
  <dcterms:modified xsi:type="dcterms:W3CDTF">2012-10-02T12:40:00Z</dcterms:modified>
</cp:coreProperties>
</file>