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05pt;height:117.2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58C0">
              <w:rPr>
                <w:rFonts w:ascii="Tahoma" w:hAnsi="Tahoma" w:cs="Tahoma"/>
                <w:b/>
                <w:sz w:val="28"/>
                <w:szCs w:val="28"/>
              </w:rPr>
              <w:t xml:space="preserve">R.C.G.01342_2012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58C0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58C0">
              <w:rPr>
                <w:rFonts w:ascii="Tahoma" w:hAnsi="Tahoma" w:cs="Tahoma"/>
              </w:rPr>
              <w:t xml:space="preserve">Det.Sett.I-Integr RCS 00283/2012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58C0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58C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58C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58C0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58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58C0">
        <w:rPr>
          <w:rFonts w:ascii="Tahoma" w:hAnsi="Tahoma" w:cs="Tahoma"/>
          <w:b/>
        </w:rPr>
        <w:t xml:space="preserve">MINUTERIA INFORMATICA. AFFIDAMENTO ALLA DITTA GRAFICA ALTERNATIVA PLUS DI PINO ANTONIA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958C0" w:rsidRDefault="00B958C0" w:rsidP="00B958C0">
      <w:pPr>
        <w:rPr>
          <w:rFonts w:ascii="Tahoma" w:hAnsi="Tahoma" w:cs="Tahoma"/>
        </w:rPr>
      </w:pPr>
    </w:p>
    <w:p w:rsidR="00B958C0" w:rsidRPr="00B958C0" w:rsidRDefault="00B958C0" w:rsidP="00B958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B958C0" w:rsidRPr="00B958C0" w:rsidRDefault="00B958C0" w:rsidP="00B958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B958C0" w:rsidRPr="00B958C0" w:rsidRDefault="00B958C0" w:rsidP="00B958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958C0" w:rsidRPr="00B958C0" w:rsidRDefault="00B958C0" w:rsidP="00B958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C0" w:rsidRDefault="00B958C0">
      <w:r>
        <w:separator/>
      </w:r>
    </w:p>
  </w:endnote>
  <w:endnote w:type="continuationSeparator" w:id="0">
    <w:p w:rsidR="00B958C0" w:rsidRDefault="00B9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C0" w:rsidRDefault="00B958C0">
      <w:r>
        <w:separator/>
      </w:r>
    </w:p>
  </w:footnote>
  <w:footnote w:type="continuationSeparator" w:id="0">
    <w:p w:rsidR="00B958C0" w:rsidRDefault="00B95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8C0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2012-10-03T06:41:00Z</dcterms:created>
  <dcterms:modified xsi:type="dcterms:W3CDTF">2012-10-03T06:41:00Z</dcterms:modified>
</cp:coreProperties>
</file>