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5AEB">
              <w:rPr>
                <w:rFonts w:ascii="Tahoma" w:hAnsi="Tahoma" w:cs="Tahoma"/>
                <w:b/>
                <w:sz w:val="28"/>
                <w:szCs w:val="28"/>
              </w:rPr>
              <w:t xml:space="preserve">R.C.G.01359_2012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5AEB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5AEB">
              <w:rPr>
                <w:rFonts w:ascii="Tahoma" w:hAnsi="Tahoma" w:cs="Tahoma"/>
              </w:rPr>
              <w:t xml:space="preserve">Det.Sett.IV-Integ RCS 00046/2012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5AEB">
              <w:rPr>
                <w:rFonts w:ascii="Tahoma" w:hAnsi="Tahoma" w:cs="Tahoma"/>
              </w:rPr>
              <w:t xml:space="preserve">03/09/2012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5AEB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5AEB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5AEB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5A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B5AEB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5AEB">
        <w:rPr>
          <w:rFonts w:ascii="Tahoma" w:hAnsi="Tahoma" w:cs="Tahoma"/>
          <w:b/>
        </w:rPr>
        <w:t>Canone per servizi di hosting qualificato per il sit urbanistico ed il sistema delle  pratiche edilizie in uso presso l’A.O. IV Edilizia privata- Urbanistica - Ambiente.</w:t>
      </w:r>
    </w:p>
    <w:p w:rsidR="007B5AEB" w:rsidRDefault="007B5AEB" w:rsidP="00701294">
      <w:pPr>
        <w:rPr>
          <w:rFonts w:ascii="Tahoma" w:hAnsi="Tahoma" w:cs="Tahoma"/>
          <w:b/>
        </w:rPr>
      </w:pPr>
    </w:p>
    <w:p w:rsidR="007B5AEB" w:rsidRDefault="007B5AEB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</w:t>
      </w:r>
    </w:p>
    <w:p w:rsidR="00701294" w:rsidRPr="00BB2B98" w:rsidRDefault="007B5AEB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: ZA7060DEE8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AEB" w:rsidRDefault="007B5AEB">
      <w:r>
        <w:separator/>
      </w:r>
    </w:p>
  </w:endnote>
  <w:endnote w:type="continuationSeparator" w:id="0">
    <w:p w:rsidR="007B5AEB" w:rsidRDefault="007B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AEB" w:rsidRDefault="007B5AEB">
      <w:r>
        <w:separator/>
      </w:r>
    </w:p>
  </w:footnote>
  <w:footnote w:type="continuationSeparator" w:id="0">
    <w:p w:rsidR="007B5AEB" w:rsidRDefault="007B5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5AE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2012-10-03T11:05:00Z</dcterms:created>
  <dcterms:modified xsi:type="dcterms:W3CDTF">2012-10-03T11:05:00Z</dcterms:modified>
</cp:coreProperties>
</file>