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F7CA6">
              <w:rPr>
                <w:rFonts w:ascii="Tahoma" w:hAnsi="Tahoma" w:cs="Tahoma"/>
                <w:b/>
                <w:sz w:val="28"/>
                <w:szCs w:val="28"/>
              </w:rPr>
              <w:t xml:space="preserve">R.C.G.01388_2012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F7CA6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F7CA6">
              <w:rPr>
                <w:rFonts w:ascii="Tahoma" w:hAnsi="Tahoma" w:cs="Tahoma"/>
              </w:rPr>
              <w:t xml:space="preserve">Det.Sett.III-Integ RCS 00285/2012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F7CA6">
              <w:rPr>
                <w:rFonts w:ascii="Tahoma" w:hAnsi="Tahoma" w:cs="Tahoma"/>
              </w:rPr>
              <w:t xml:space="preserve">28/09/2012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F7CA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F7CA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F7CA6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F7CA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F7CA6">
        <w:rPr>
          <w:rFonts w:ascii="Tahoma" w:hAnsi="Tahoma" w:cs="Tahoma"/>
          <w:b/>
        </w:rPr>
        <w:t xml:space="preserve">Lavori di restauro e riorganizzazione funzionale Palazzo Prospero Rendella a Biblioteca Comunale Integrata - Società Coop. Archeologia di Firenze - Contratto rep.6380 del 03/11/2010 – Perizia di variante.- Esame ed approvazione atti.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7CA6" w:rsidRDefault="001F7CA6">
      <w:r>
        <w:separator/>
      </w:r>
    </w:p>
  </w:endnote>
  <w:endnote w:type="continuationSeparator" w:id="1">
    <w:p w:rsidR="001F7CA6" w:rsidRDefault="001F7C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7CA6" w:rsidRDefault="001F7CA6">
      <w:r>
        <w:separator/>
      </w:r>
    </w:p>
  </w:footnote>
  <w:footnote w:type="continuationSeparator" w:id="1">
    <w:p w:rsidR="001F7CA6" w:rsidRDefault="001F7C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F7CA6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2012-10-16T06:52:00Z</dcterms:created>
  <dcterms:modified xsi:type="dcterms:W3CDTF">2012-10-16T06:52:00Z</dcterms:modified>
</cp:coreProperties>
</file>