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D30FE">
              <w:rPr>
                <w:rFonts w:ascii="Tahoma" w:hAnsi="Tahoma" w:cs="Tahoma"/>
                <w:b/>
                <w:sz w:val="28"/>
                <w:szCs w:val="28"/>
              </w:rPr>
              <w:t xml:space="preserve">R.C.G.01378_2012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D30FE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D30FE">
              <w:rPr>
                <w:rFonts w:ascii="Tahoma" w:hAnsi="Tahoma" w:cs="Tahoma"/>
              </w:rPr>
              <w:t xml:space="preserve">Det.Sett.III-Integ RCS 00290/2012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D30FE">
              <w:rPr>
                <w:rFonts w:ascii="Tahoma" w:hAnsi="Tahoma" w:cs="Tahoma"/>
              </w:rPr>
              <w:t xml:space="preserve">04/10/2012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D30F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D30F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D30FE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D30F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BD30FE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D30FE">
        <w:rPr>
          <w:rFonts w:ascii="Tahoma" w:hAnsi="Tahoma" w:cs="Tahoma"/>
          <w:b/>
        </w:rPr>
        <w:t xml:space="preserve">Programma Operativo FESR 2007 – 2013. ASSE IV – Linea di intervento 4.2: opere per il completamento di Palazzo Martinelli II Stralcio. Identificazione competenze professionali per perizia di variante.  </w:t>
      </w:r>
    </w:p>
    <w:p w:rsidR="00701294" w:rsidRPr="00BB2B98" w:rsidRDefault="00BD30FE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CUP: C69G09000110006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30FE" w:rsidRDefault="00BD30FE">
      <w:r>
        <w:separator/>
      </w:r>
    </w:p>
  </w:endnote>
  <w:endnote w:type="continuationSeparator" w:id="1">
    <w:p w:rsidR="00BD30FE" w:rsidRDefault="00BD30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30FE" w:rsidRDefault="00BD30FE">
      <w:r>
        <w:separator/>
      </w:r>
    </w:p>
  </w:footnote>
  <w:footnote w:type="continuationSeparator" w:id="1">
    <w:p w:rsidR="00BD30FE" w:rsidRDefault="00BD30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30FE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2012-10-16T10:03:00Z</dcterms:created>
  <dcterms:modified xsi:type="dcterms:W3CDTF">2012-10-16T10:03:00Z</dcterms:modified>
</cp:coreProperties>
</file>